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建设项目压覆重要矿床（矿产资源）审批</w:t>
      </w:r>
    </w:p>
    <w:p>
      <w:pPr>
        <w:jc w:val="center"/>
        <w:rPr>
          <w:rFonts w:hint="eastAsia"/>
        </w:rPr>
      </w:pPr>
      <w:r>
        <w:rPr>
          <w:rFonts w:hint="eastAsia"/>
        </w:rPr>
        <w:t>【</w:t>
      </w:r>
      <w:r>
        <w:t>00011511800201</w:t>
      </w:r>
      <w:r>
        <w:rPr>
          <w:rFonts w:hint="eastAsia"/>
        </w:rPr>
        <w:t>】</w:t>
      </w:r>
    </w:p>
    <w:p>
      <w:pPr>
        <w:spacing w:line="600" w:lineRule="exact"/>
        <w:outlineLvl w:val="1"/>
        <w:rPr>
          <w:rFonts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建设项目压覆重要矿床审批【00011511800Y】</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建设项目压覆重要矿床审批（省级权限）【000115118002】</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建设项目压覆重要矿床（矿产资源）审批(00011511800201)</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《中华人民共和国矿产资源法》第三十三条</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（1）《国土资源部关于进一步做好建设项目压覆重要矿产资源审批管理工作的通知》（国土资发〔2010〕137号）第三部分</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（2）《国土资源部关于改进和优化建设项目用地预审和用地审查的通知》（国土资规〔2016〕16号）。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（3）各省级自然资源主管部门印发的压覆审批相关规定</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（1）《国土资源部关于进一步做好建设项目压覆重要矿产资源审批管理工作的通知》（国土资发〔2010〕137号）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（2）《自然资源部办公厅关于开展矿产资源储量评审工作质量监督指导的通知》（自然资办函〔2021〕1116号）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（3）《压覆矿产资源估算规范》</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（4）各省级自然资源主管部门印发的压覆审批相关规定</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省自然资源厅（部分委托设区的市级自然资源部门实施）</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省级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省级/设区的市级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省级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建设项目压覆重要矿床（矿产资源）审批</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由省级自然资源主管部门负责压覆审批的，按照各省级自然资源主管部门印发的压覆审批相关要求准予行政许可。</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（1）《中华人民共和国矿产资源法》第三十三条  在建设铁路、工厂、水库、输油管道、输电线路和各种大型建筑物或者建筑群之前，建设单位必须向所在省、自治区、直辖市地质矿产主管部门了解拟建工程所在地区的矿产资源分布和开采情况。非经国务院授权的部门批准，不得压覆重要矿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（2）各省级自然资源主管部门印发的压覆审批相关规定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由省级自然资源主管部门负责压覆审批的，按照各省级自然资源主管部门印发的压覆审批相关规定执行。</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企业法人,行政机关，事业单位法人。</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6.具体改革举措</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落实“放管服”改革要求，进一步优化营商环境。全面开展特定区域调查评估，经国务院或省级人民政府批准设立的各类开发区、国务院已批准的自由贸易试验区等特定区域内的建设项目，不在对区域内的市场主体单独提出评估要求。新设立的及范围调整的特定区域，应在批准前完成调查评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（2）将承诺审批时限由20个工作日压减至8个工作日。</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（1）制定完善压覆矿产资源估算规范等行业标准，从标准层面加强对企业编制的压覆重要矿产资源评估报告的审查。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（2）开展“双随机、一公开”监管，随机抽查压覆重要矿产资源评估报告评审质量。</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（3）加强质量审核，对资源储量规模大型及以上的，进行现场核查。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（4）加强信用监管，对已评审备案的压覆评估报告，发现申请材料不真实或者弄虚作假的，按程序撤销评审备案结果，并结合矿业权人勘查开采信息公示将违法记录纳入信息公示系统，开展联合失信惩戒。</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（1）建设单位关于XXX建设项目用地压覆矿产资源的</w:t>
      </w:r>
      <w:bookmarkStart w:id="0" w:name="_GoBack"/>
      <w:r>
        <w:rPr>
          <w:rFonts w:hint="eastAsia" w:ascii="仿宋_GB2312" w:hAnsi="仿宋_GB2312" w:eastAsia="仿宋_GB2312" w:cs="仿宋_GB2312"/>
          <w:sz w:val="32"/>
          <w:szCs w:val="32"/>
          <w:highlight w:val="none"/>
          <w:lang w:eastAsia="zh-CN"/>
        </w:rPr>
        <w:t>备案</w:t>
      </w:r>
      <w:r>
        <w:rPr>
          <w:rFonts w:hint="eastAsia" w:ascii="仿宋_GB2312" w:hAnsi="仿宋_GB2312" w:eastAsia="仿宋_GB2312" w:cs="仿宋_GB2312"/>
          <w:sz w:val="32"/>
          <w:szCs w:val="32"/>
          <w:highlight w:val="none"/>
        </w:rPr>
        <w:t>申请（正式公文）。</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（2）建设项目立项批复文件。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（3）省、州（市）、县（市、区）三级自然资源主管部门</w:t>
      </w:r>
      <w:r>
        <w:rPr>
          <w:rFonts w:hint="eastAsia" w:ascii="仿宋_GB2312" w:hAnsi="仿宋_GB2312" w:eastAsia="仿宋_GB2312" w:cs="仿宋_GB2312"/>
          <w:sz w:val="32"/>
          <w:szCs w:val="32"/>
          <w:highlight w:val="none"/>
          <w:lang w:eastAsia="zh-CN"/>
        </w:rPr>
        <w:t>项目用地调查区国家探明矿产地、矿业权压覆情况查询结果表</w:t>
      </w:r>
      <w:r>
        <w:rPr>
          <w:rFonts w:hint="eastAsia" w:ascii="仿宋_GB2312" w:hAnsi="仿宋_GB2312" w:eastAsia="仿宋_GB2312" w:cs="仿宋_GB2312"/>
          <w:sz w:val="32"/>
          <w:szCs w:val="32"/>
          <w:highlight w:val="none"/>
        </w:rPr>
        <w:t>。</w:t>
      </w:r>
      <w:bookmarkEnd w:id="0"/>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（4）建设单位与矿业权人签订的同意压覆协议（含加盖矿业权人公章的矿业权许可证）。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（5）建设项目压覆重要矿产资源评估报告。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（6）关于《XXX建设项目用地压覆矿产资源评估报告》评审备案的函。</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（1）《云南省国土资源厅关于进一步规范建设项目压覆矿产资源审批工作的通知》（云国土资〔2010〕399号）</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（2）《云南省国土资源厅关于进一步加强建设项目压覆重要矿产资源审批备案管理工作的通知》（云国土资办〔2013〕25号）</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（1）申请人向自然资源部门提出申请并提交材料。</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自然资源部门接受申请材料，承办处室对申请材料进行审查，作出受理、不予受理、通知补正、不受理的处理决定，制作受理通知书、不予受理决定书、补正通知书或不受理告知书，由自然资源部门送达申请人。不属于本部门管辖范围的，应当告知申请人向有关行政机关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（3）自然资源部门对申请材料进行初审，确定是否组织实地核查、专家评审、听证等。有特别程序的，向申请人下发特别程序告知书。自然资源部门根据有关规定对申请人材料进行审查。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（4）经审查，符合条件的，由自然资源部门出具准予行政许可决定；不符合条件的，出具不予行政许可决定。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（5）申请人到自然资源部门领取行政许可决定书。</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（1）《云南省国土资源厅关于进一步规范建设项目压覆矿产资源审批工作的通知》（云国土资〔2010〕399号）</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（2）《云南省国土资源厅关于进一步加强建设项目压覆重要矿产资源审批备案管理工作的通知》（云国土资办〔2013〕25号）</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各省级自然资源主管部门印发的压覆审批规定的审批时限：按照各省级自然资源主管部门印发的压覆审批规定的审批时限要求。《中华人民共和国行政许可法》第四十二条。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依法进行补正、补充修改另需时间不计算在该时限</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批文</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XX省自然资源厅关于XX建设项目压覆XX重要矿产资源调查结果备案的函及XX省自然资源厅关于XX建设项目压覆XX重要矿产资源的批复</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暂由各地区自行规定</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各省级自然资源主管部门印发的压覆审批规定：各省级自然资源主管部门印发的压覆审批规定的审批结果有效期。</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本省</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各省级自然资源主管部门印发的压覆审批规定：各省级自然资源主管部门印发的压覆审批规定的的有效地域范围。</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outlineLvl w:val="1"/>
        <w:rPr>
          <w:rFonts w:hint="eastAsia" w:ascii="Times New Roman" w:hAnsi="Times New Roman" w:eastAsia="黑体"/>
          <w:sz w:val="32"/>
          <w:szCs w:val="32"/>
        </w:rPr>
      </w:pPr>
      <w:r>
        <w:rPr>
          <w:rFonts w:ascii="Times New Roman" w:hAnsi="Times New Roman" w:eastAsia="黑体"/>
          <w:sz w:val="32"/>
          <w:szCs w:val="32"/>
        </w:rPr>
        <w:t xml:space="preserve">    </w:t>
      </w:r>
      <w:r>
        <w:rPr>
          <w:rFonts w:hint="eastAsia" w:ascii="Times New Roman" w:hAnsi="Times New Roman" w:eastAsia="黑体"/>
          <w:sz w:val="32"/>
          <w:szCs w:val="32"/>
        </w:rPr>
        <w:t>十四、监管主体</w:t>
      </w:r>
    </w:p>
    <w:p>
      <w:pPr>
        <w:spacing w:line="60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省自然资源厅</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备注</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（1）建设项目选址坐标发生改变，导致压覆查明矿产资源变化的，需重新办理压覆审批手续。各个省级自然资源主管部门对审批结果变更和审批结果延续有规定的，按照各省规定执行。</w:t>
      </w:r>
    </w:p>
    <w:p>
      <w:r>
        <w:rPr>
          <w:rFonts w:hint="eastAsia" w:ascii="仿宋_GB2312" w:hAnsi="仿宋_GB2312" w:eastAsia="仿宋_GB2312" w:cs="仿宋_GB2312"/>
          <w:sz w:val="32"/>
          <w:szCs w:val="32"/>
        </w:rPr>
        <w:t>（2）《云南省国土资源厅关于调整建设项目压覆重要矿产资源审批备案权限的通知》（云国土资〔2015〕91号）.实行分级管理。将不涉及跨州、市的建设项目压覆矿产资源审批备案权限下放至州、市国土资源局行使。跨州、市建设项目压覆重要矿产资源审批备案仍由省国土资源厅负责办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003B4747"/>
    <w:rsid w:val="001D6B71"/>
    <w:rsid w:val="002246EE"/>
    <w:rsid w:val="003B4747"/>
    <w:rsid w:val="00494509"/>
    <w:rsid w:val="00661E1E"/>
    <w:rsid w:val="00987BFF"/>
    <w:rsid w:val="00A33CC2"/>
    <w:rsid w:val="00DB0B25"/>
    <w:rsid w:val="57DFAE16"/>
    <w:rsid w:val="5BBB6DA3"/>
    <w:rsid w:val="640E6D2D"/>
    <w:rsid w:val="72FF817D"/>
    <w:rsid w:val="779E2661"/>
    <w:rsid w:val="7E75F25B"/>
    <w:rsid w:val="7FDE9740"/>
    <w:rsid w:val="7FDF5341"/>
    <w:rsid w:val="D63CA3D4"/>
    <w:rsid w:val="FF6FBCE4"/>
    <w:rsid w:val="FFCFF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3288</Words>
  <Characters>3474</Characters>
  <Lines>26</Lines>
  <Paragraphs>7</Paragraphs>
  <TotalTime>15</TotalTime>
  <ScaleCrop>false</ScaleCrop>
  <LinksUpToDate>false</LinksUpToDate>
  <CharactersWithSpaces>3536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2023-05-07T08:17:00Z</dcterms:created>
  <dc:creator>MM</dc:creator>
  <cp:lastModifiedBy>Administrator</cp:lastModifiedBy>
  <dcterms:modified xsi:type="dcterms:W3CDTF">2023-09-05T08:44:15Z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F391F68393EE48C5923B661E8BF3325C_12</vt:lpwstr>
  </property>
</Properties>
</file>