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E227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宋体" w:hAnsi="宋体" w:eastAsia="方正黑体_GBK" w:cs="方正黑体_GBK"/>
          <w:lang w:val="en"/>
        </w:rPr>
      </w:pPr>
      <w:r>
        <w:rPr>
          <w:rFonts w:hint="eastAsia" w:ascii="宋体" w:hAnsi="宋体" w:eastAsia="方正黑体_GBK" w:cs="方正黑体_GBK"/>
        </w:rPr>
        <w:t>附件1</w:t>
      </w:r>
    </w:p>
    <w:p w14:paraId="208015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rFonts w:hint="eastAsia" w:ascii="宋体" w:hAnsi="宋体" w:eastAsia="方正仿宋_GBK" w:cs="方正仿宋_GBK"/>
        </w:rPr>
      </w:pPr>
    </w:p>
    <w:p w14:paraId="715118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宋体" w:hAnsi="宋体" w:eastAsia="方正小标宋_GBK" w:cs="方正小标宋_GBK"/>
          <w:sz w:val="44"/>
          <w:szCs w:val="44"/>
        </w:rPr>
      </w:pPr>
      <w:r>
        <w:rPr>
          <w:rFonts w:hint="eastAsia" w:ascii="宋体" w:hAnsi="宋体" w:eastAsia="方正小标宋_GBK" w:cs="方正小标宋_GBK"/>
          <w:sz w:val="44"/>
          <w:szCs w:val="44"/>
        </w:rPr>
        <w:t>设施农业用地范围</w:t>
      </w:r>
    </w:p>
    <w:tbl>
      <w:tblPr>
        <w:tblStyle w:val="4"/>
        <w:tblW w:w="810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0"/>
        <w:gridCol w:w="543"/>
        <w:gridCol w:w="597"/>
        <w:gridCol w:w="977"/>
        <w:gridCol w:w="3994"/>
        <w:gridCol w:w="1514"/>
      </w:tblGrid>
      <w:tr w14:paraId="0B884B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480" w:type="dxa"/>
            <w:vMerge w:val="restart"/>
            <w:noWrap w:val="0"/>
            <w:vAlign w:val="center"/>
          </w:tcPr>
          <w:p w14:paraId="087BCD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宋体" w:hAnsi="宋体" w:eastAsia="方正仿宋_GBK" w:cs="方正仿宋_GBK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方正仿宋_GBK" w:cs="方正仿宋_GBK"/>
                <w:kern w:val="0"/>
                <w:sz w:val="24"/>
                <w:szCs w:val="24"/>
              </w:rPr>
              <w:t>设施农业用地</w:t>
            </w:r>
          </w:p>
        </w:tc>
        <w:tc>
          <w:tcPr>
            <w:tcW w:w="1140" w:type="dxa"/>
            <w:gridSpan w:val="2"/>
            <w:noWrap w:val="0"/>
            <w:vAlign w:val="center"/>
          </w:tcPr>
          <w:p w14:paraId="6CD640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方正仿宋_GBK" w:cs="方正仿宋_GBK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方正仿宋_GBK" w:cs="方正仿宋_GBK"/>
                <w:kern w:val="0"/>
                <w:sz w:val="24"/>
                <w:szCs w:val="24"/>
              </w:rPr>
              <w:t>分类</w:t>
            </w:r>
          </w:p>
        </w:tc>
        <w:tc>
          <w:tcPr>
            <w:tcW w:w="977" w:type="dxa"/>
            <w:noWrap w:val="0"/>
            <w:vAlign w:val="center"/>
          </w:tcPr>
          <w:p w14:paraId="5ACF4C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方正仿宋_GBK" w:cs="方正仿宋_GBK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方正仿宋_GBK" w:cs="方正仿宋_GBK"/>
                <w:kern w:val="0"/>
                <w:sz w:val="24"/>
                <w:szCs w:val="24"/>
              </w:rPr>
              <w:t>类型</w:t>
            </w:r>
          </w:p>
        </w:tc>
        <w:tc>
          <w:tcPr>
            <w:tcW w:w="3994" w:type="dxa"/>
            <w:noWrap w:val="0"/>
            <w:vAlign w:val="center"/>
          </w:tcPr>
          <w:p w14:paraId="7BEB30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方正仿宋_GBK" w:cs="方正仿宋_GBK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方正仿宋_GBK" w:cs="方正仿宋_GBK"/>
                <w:kern w:val="0"/>
                <w:sz w:val="24"/>
                <w:szCs w:val="24"/>
              </w:rPr>
              <w:t>拟纳入管理内容</w:t>
            </w:r>
          </w:p>
        </w:tc>
        <w:tc>
          <w:tcPr>
            <w:tcW w:w="1514" w:type="dxa"/>
            <w:noWrap w:val="0"/>
            <w:vAlign w:val="center"/>
          </w:tcPr>
          <w:p w14:paraId="1B0539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方正仿宋_GBK" w:cs="方正仿宋_GBK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方正仿宋_GBK" w:cs="方正仿宋_GBK"/>
                <w:kern w:val="0"/>
                <w:sz w:val="24"/>
                <w:szCs w:val="24"/>
              </w:rPr>
              <w:t>规模上限</w:t>
            </w:r>
          </w:p>
        </w:tc>
      </w:tr>
      <w:tr w14:paraId="646B6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80" w:type="dxa"/>
            <w:vMerge w:val="continue"/>
            <w:noWrap w:val="0"/>
            <w:vAlign w:val="center"/>
          </w:tcPr>
          <w:p w14:paraId="337228B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宋体" w:hAnsi="宋体" w:eastAsia="方正仿宋_GBK" w:cs="方正仿宋_GBK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gridSpan w:val="2"/>
            <w:vMerge w:val="restart"/>
            <w:noWrap w:val="0"/>
            <w:vAlign w:val="center"/>
          </w:tcPr>
          <w:p w14:paraId="6E1887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方正仿宋_GBK" w:cs="方正仿宋_GBK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方正仿宋_GBK" w:cs="方正仿宋_GBK"/>
                <w:kern w:val="0"/>
                <w:sz w:val="24"/>
                <w:szCs w:val="24"/>
              </w:rPr>
              <w:t>生产</w:t>
            </w:r>
            <w:r>
              <w:rPr>
                <w:rFonts w:hint="eastAsia" w:ascii="宋体" w:hAnsi="宋体" w:eastAsia="方正仿宋_GBK" w:cs="方正仿宋_GBK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方正仿宋_GBK" w:cs="方正仿宋_GBK"/>
                <w:kern w:val="0"/>
                <w:sz w:val="24"/>
                <w:szCs w:val="24"/>
              </w:rPr>
              <w:t>设施用地</w:t>
            </w:r>
          </w:p>
        </w:tc>
        <w:tc>
          <w:tcPr>
            <w:tcW w:w="977" w:type="dxa"/>
            <w:noWrap w:val="0"/>
            <w:vAlign w:val="center"/>
          </w:tcPr>
          <w:p w14:paraId="0FE141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方正仿宋_GBK" w:cs="方正仿宋_GBK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方正仿宋_GBK" w:cs="方正仿宋_GBK"/>
                <w:kern w:val="0"/>
                <w:sz w:val="24"/>
                <w:szCs w:val="24"/>
              </w:rPr>
              <w:t>种植</w:t>
            </w:r>
          </w:p>
        </w:tc>
        <w:tc>
          <w:tcPr>
            <w:tcW w:w="3994" w:type="dxa"/>
            <w:noWrap w:val="0"/>
            <w:vAlign w:val="center"/>
          </w:tcPr>
          <w:p w14:paraId="41CDAD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方正仿宋_GBK" w:cs="方正仿宋_GBK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方正仿宋_GBK" w:cs="方正仿宋_GBK"/>
                <w:kern w:val="0"/>
                <w:sz w:val="24"/>
                <w:szCs w:val="24"/>
              </w:rPr>
              <w:t>工厂化种植设施、育种育苗、灌排沟渠、场内道路等</w:t>
            </w:r>
          </w:p>
        </w:tc>
        <w:tc>
          <w:tcPr>
            <w:tcW w:w="1514" w:type="dxa"/>
            <w:vMerge w:val="restart"/>
            <w:noWrap w:val="0"/>
            <w:vAlign w:val="center"/>
          </w:tcPr>
          <w:p w14:paraId="460201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方正仿宋_GBK" w:cs="方正仿宋_GBK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方正仿宋_GBK" w:cs="方正仿宋_GBK"/>
                <w:kern w:val="0"/>
                <w:sz w:val="24"/>
                <w:szCs w:val="24"/>
              </w:rPr>
              <w:t>根据生产需要合理确定</w:t>
            </w:r>
          </w:p>
        </w:tc>
      </w:tr>
      <w:tr w14:paraId="3FC022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480" w:type="dxa"/>
            <w:vMerge w:val="continue"/>
            <w:noWrap w:val="0"/>
            <w:vAlign w:val="center"/>
          </w:tcPr>
          <w:p w14:paraId="1B91AE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宋体" w:hAnsi="宋体" w:eastAsia="方正仿宋_GBK" w:cs="方正仿宋_GBK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gridSpan w:val="2"/>
            <w:vMerge w:val="continue"/>
            <w:noWrap w:val="0"/>
            <w:vAlign w:val="center"/>
          </w:tcPr>
          <w:p w14:paraId="18A5A7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方正仿宋_GBK" w:cs="方正仿宋_GBK"/>
                <w:kern w:val="0"/>
                <w:sz w:val="24"/>
                <w:szCs w:val="24"/>
              </w:rPr>
            </w:pPr>
          </w:p>
        </w:tc>
        <w:tc>
          <w:tcPr>
            <w:tcW w:w="977" w:type="dxa"/>
            <w:vMerge w:val="restart"/>
            <w:noWrap w:val="0"/>
            <w:vAlign w:val="center"/>
          </w:tcPr>
          <w:p w14:paraId="3F4264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方正仿宋_GBK" w:cs="方正仿宋_GBK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方正仿宋_GBK" w:cs="方正仿宋_GBK"/>
                <w:kern w:val="0"/>
                <w:sz w:val="24"/>
                <w:szCs w:val="24"/>
              </w:rPr>
              <w:t>养殖</w:t>
            </w:r>
          </w:p>
        </w:tc>
        <w:tc>
          <w:tcPr>
            <w:tcW w:w="3994" w:type="dxa"/>
            <w:noWrap w:val="0"/>
            <w:vAlign w:val="center"/>
          </w:tcPr>
          <w:p w14:paraId="261DD2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方正仿宋_GBK" w:cs="方正仿宋_GBK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方正仿宋_GBK" w:cs="方正仿宋_GBK"/>
                <w:kern w:val="0"/>
                <w:sz w:val="24"/>
                <w:szCs w:val="24"/>
              </w:rPr>
              <w:t>圈舍（棚）、养殖池（箱）、育种设施、</w:t>
            </w:r>
            <w:r>
              <w:rPr>
                <w:rFonts w:hint="eastAsia" w:ascii="宋体" w:hAnsi="宋体" w:eastAsia="方正仿宋_GBK" w:cs="方正仿宋_GBK"/>
                <w:kern w:val="0"/>
                <w:sz w:val="24"/>
                <w:szCs w:val="24"/>
                <w:lang w:val="en-US" w:eastAsia="zh-CN"/>
              </w:rPr>
              <w:t>场内通道、</w:t>
            </w:r>
            <w:r>
              <w:rPr>
                <w:rFonts w:hint="eastAsia" w:ascii="宋体" w:hAnsi="宋体" w:eastAsia="方正仿宋_GBK" w:cs="方正仿宋_GBK"/>
                <w:kern w:val="0"/>
                <w:sz w:val="24"/>
                <w:szCs w:val="24"/>
              </w:rPr>
              <w:t>进排水渠道等</w:t>
            </w:r>
          </w:p>
        </w:tc>
        <w:tc>
          <w:tcPr>
            <w:tcW w:w="1514" w:type="dxa"/>
            <w:vMerge w:val="continue"/>
            <w:noWrap w:val="0"/>
            <w:vAlign w:val="center"/>
          </w:tcPr>
          <w:p w14:paraId="03A089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方正仿宋_GBK" w:cs="方正仿宋_GBK"/>
                <w:kern w:val="0"/>
                <w:sz w:val="24"/>
                <w:szCs w:val="24"/>
              </w:rPr>
            </w:pPr>
          </w:p>
        </w:tc>
      </w:tr>
      <w:tr w14:paraId="3964E2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80" w:type="dxa"/>
            <w:vMerge w:val="continue"/>
            <w:noWrap w:val="0"/>
            <w:vAlign w:val="center"/>
          </w:tcPr>
          <w:p w14:paraId="53928B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宋体" w:hAnsi="宋体" w:eastAsia="方正仿宋_GBK" w:cs="方正仿宋_GBK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gridSpan w:val="2"/>
            <w:vMerge w:val="continue"/>
            <w:noWrap w:val="0"/>
            <w:vAlign w:val="center"/>
          </w:tcPr>
          <w:p w14:paraId="2F86D0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方正仿宋_GBK" w:cs="方正仿宋_GBK"/>
                <w:kern w:val="0"/>
                <w:sz w:val="24"/>
                <w:szCs w:val="24"/>
              </w:rPr>
            </w:pPr>
          </w:p>
        </w:tc>
        <w:tc>
          <w:tcPr>
            <w:tcW w:w="977" w:type="dxa"/>
            <w:vMerge w:val="continue"/>
            <w:noWrap w:val="0"/>
            <w:vAlign w:val="center"/>
          </w:tcPr>
          <w:p w14:paraId="204DF0F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方正仿宋_GBK" w:cs="方正仿宋_GBK"/>
                <w:kern w:val="0"/>
                <w:sz w:val="24"/>
                <w:szCs w:val="24"/>
              </w:rPr>
            </w:pPr>
          </w:p>
        </w:tc>
        <w:tc>
          <w:tcPr>
            <w:tcW w:w="3994" w:type="dxa"/>
            <w:noWrap w:val="0"/>
            <w:vAlign w:val="center"/>
          </w:tcPr>
          <w:p w14:paraId="4D8AE0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方正仿宋_GBK" w:cs="方正仿宋_GBK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方正仿宋_GBK" w:cs="方正仿宋_GBK"/>
                <w:kern w:val="0"/>
                <w:sz w:val="24"/>
                <w:szCs w:val="24"/>
              </w:rPr>
              <w:t>养殖桶、蚕房、藻类光生物反应器等</w:t>
            </w:r>
          </w:p>
        </w:tc>
        <w:tc>
          <w:tcPr>
            <w:tcW w:w="1514" w:type="dxa"/>
            <w:vMerge w:val="continue"/>
            <w:noWrap w:val="0"/>
            <w:vAlign w:val="center"/>
          </w:tcPr>
          <w:p w14:paraId="6A3F14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方正仿宋_GBK" w:cs="方正仿宋_GBK"/>
                <w:kern w:val="0"/>
                <w:sz w:val="24"/>
                <w:szCs w:val="24"/>
              </w:rPr>
            </w:pPr>
          </w:p>
        </w:tc>
      </w:tr>
      <w:tr w14:paraId="055260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80" w:type="dxa"/>
            <w:vMerge w:val="continue"/>
            <w:noWrap w:val="0"/>
            <w:vAlign w:val="center"/>
          </w:tcPr>
          <w:p w14:paraId="4065B7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宋体" w:hAnsi="宋体" w:eastAsia="方正仿宋_GBK" w:cs="方正仿宋_GBK"/>
                <w:kern w:val="0"/>
                <w:sz w:val="24"/>
                <w:szCs w:val="24"/>
              </w:rPr>
            </w:pPr>
          </w:p>
        </w:tc>
        <w:tc>
          <w:tcPr>
            <w:tcW w:w="543" w:type="dxa"/>
            <w:vMerge w:val="restart"/>
            <w:noWrap w:val="0"/>
            <w:vAlign w:val="center"/>
          </w:tcPr>
          <w:p w14:paraId="797005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方正仿宋_GBK" w:cs="方正仿宋_GBK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方正仿宋_GBK" w:cs="方正仿宋_GBK"/>
                <w:kern w:val="0"/>
                <w:sz w:val="24"/>
                <w:szCs w:val="24"/>
              </w:rPr>
              <w:t>辅助设施用地</w:t>
            </w:r>
          </w:p>
        </w:tc>
        <w:tc>
          <w:tcPr>
            <w:tcW w:w="597" w:type="dxa"/>
            <w:vMerge w:val="restart"/>
            <w:noWrap w:val="0"/>
            <w:vAlign w:val="center"/>
          </w:tcPr>
          <w:p w14:paraId="17AA10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方正仿宋_GBK" w:cs="方正仿宋_GBK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方正仿宋_GBK" w:cs="方正仿宋_GBK"/>
                <w:kern w:val="0"/>
                <w:sz w:val="24"/>
                <w:szCs w:val="24"/>
              </w:rPr>
              <w:t>附属</w:t>
            </w:r>
            <w:r>
              <w:rPr>
                <w:rFonts w:hint="eastAsia" w:ascii="宋体" w:hAnsi="宋体" w:eastAsia="方正仿宋_GBK" w:cs="方正仿宋_GBK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方正仿宋_GBK" w:cs="方正仿宋_GBK"/>
                <w:kern w:val="0"/>
                <w:sz w:val="24"/>
                <w:szCs w:val="24"/>
              </w:rPr>
              <w:t>设施用地</w:t>
            </w:r>
          </w:p>
        </w:tc>
        <w:tc>
          <w:tcPr>
            <w:tcW w:w="977" w:type="dxa"/>
            <w:vMerge w:val="restart"/>
            <w:noWrap w:val="0"/>
            <w:vAlign w:val="center"/>
          </w:tcPr>
          <w:p w14:paraId="11DE86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方正仿宋_GBK" w:cs="方正仿宋_GBK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方正仿宋_GBK" w:cs="方正仿宋_GBK"/>
                <w:kern w:val="0"/>
                <w:sz w:val="24"/>
                <w:szCs w:val="24"/>
              </w:rPr>
              <w:t>种植</w:t>
            </w:r>
          </w:p>
        </w:tc>
        <w:tc>
          <w:tcPr>
            <w:tcW w:w="3994" w:type="dxa"/>
            <w:noWrap w:val="0"/>
            <w:vAlign w:val="center"/>
          </w:tcPr>
          <w:p w14:paraId="2F1F21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方正仿宋_GBK" w:cs="方正仿宋_GBK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方正仿宋_GBK" w:cs="方正仿宋_GBK"/>
                <w:kern w:val="0"/>
                <w:sz w:val="24"/>
                <w:szCs w:val="24"/>
              </w:rPr>
              <w:t>场内道路、水泵配电、抽水配电等设施等</w:t>
            </w:r>
          </w:p>
        </w:tc>
        <w:tc>
          <w:tcPr>
            <w:tcW w:w="1514" w:type="dxa"/>
            <w:vMerge w:val="restart"/>
            <w:noWrap w:val="0"/>
            <w:vAlign w:val="center"/>
          </w:tcPr>
          <w:p w14:paraId="271C58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方正仿宋_GBK" w:cs="方正仿宋_GBK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方正仿宋_GBK" w:cs="方正仿宋_GBK"/>
                <w:kern w:val="0"/>
                <w:sz w:val="24"/>
                <w:szCs w:val="24"/>
              </w:rPr>
              <w:t>生产用地（包括粮食生产、设施农业、林果业等各类农业生产用地）总规模的15%以内，原则上最多不超过30亩</w:t>
            </w:r>
          </w:p>
        </w:tc>
      </w:tr>
      <w:tr w14:paraId="4CCDCD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80" w:type="dxa"/>
            <w:vMerge w:val="continue"/>
            <w:noWrap w:val="0"/>
            <w:vAlign w:val="center"/>
          </w:tcPr>
          <w:p w14:paraId="43DF0A3D">
            <w:pPr>
              <w:widowControl/>
              <w:rPr>
                <w:rFonts w:hint="eastAsia" w:ascii="宋体" w:hAnsi="宋体" w:eastAsia="仿宋_GB2312"/>
                <w:kern w:val="0"/>
                <w:szCs w:val="21"/>
              </w:rPr>
            </w:pPr>
          </w:p>
        </w:tc>
        <w:tc>
          <w:tcPr>
            <w:tcW w:w="543" w:type="dxa"/>
            <w:vMerge w:val="continue"/>
            <w:noWrap w:val="0"/>
            <w:vAlign w:val="center"/>
          </w:tcPr>
          <w:p w14:paraId="3DDD60D2">
            <w:pPr>
              <w:widowControl/>
              <w:jc w:val="center"/>
              <w:rPr>
                <w:rFonts w:hint="eastAsia" w:ascii="宋体" w:hAnsi="宋体" w:eastAsia="方正仿宋_GBK" w:cs="方正仿宋_GBK"/>
                <w:kern w:val="0"/>
                <w:szCs w:val="21"/>
              </w:rPr>
            </w:pPr>
          </w:p>
        </w:tc>
        <w:tc>
          <w:tcPr>
            <w:tcW w:w="597" w:type="dxa"/>
            <w:vMerge w:val="continue"/>
            <w:noWrap w:val="0"/>
            <w:vAlign w:val="center"/>
          </w:tcPr>
          <w:p w14:paraId="64033002">
            <w:pPr>
              <w:widowControl/>
              <w:jc w:val="center"/>
              <w:rPr>
                <w:rFonts w:hint="eastAsia" w:ascii="宋体" w:hAnsi="宋体" w:eastAsia="方正仿宋_GBK" w:cs="方正仿宋_GBK"/>
                <w:kern w:val="0"/>
                <w:szCs w:val="21"/>
              </w:rPr>
            </w:pPr>
          </w:p>
        </w:tc>
        <w:tc>
          <w:tcPr>
            <w:tcW w:w="977" w:type="dxa"/>
            <w:vMerge w:val="continue"/>
            <w:noWrap w:val="0"/>
            <w:vAlign w:val="center"/>
          </w:tcPr>
          <w:p w14:paraId="6C434D42">
            <w:pPr>
              <w:widowControl/>
              <w:jc w:val="center"/>
              <w:rPr>
                <w:rFonts w:hint="eastAsia" w:ascii="宋体" w:hAnsi="宋体" w:eastAsia="方正仿宋_GBK" w:cs="方正仿宋_GBK"/>
                <w:kern w:val="0"/>
                <w:szCs w:val="21"/>
              </w:rPr>
            </w:pPr>
          </w:p>
        </w:tc>
        <w:tc>
          <w:tcPr>
            <w:tcW w:w="3994" w:type="dxa"/>
            <w:noWrap w:val="0"/>
            <w:vAlign w:val="center"/>
          </w:tcPr>
          <w:p w14:paraId="5C05B9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方正仿宋_GBK" w:cs="方正仿宋_GBK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方正仿宋_GBK" w:cs="方正仿宋_GBK"/>
                <w:kern w:val="0"/>
                <w:sz w:val="24"/>
                <w:szCs w:val="24"/>
              </w:rPr>
              <w:t>管理用房（含不破坏耕作层，非永久性建设，不对外经营供内部工作人员使用的简易用餐场所、临时宿舍、厕所）、农资农机具存放、病虫害防控等设施等</w:t>
            </w:r>
          </w:p>
        </w:tc>
        <w:tc>
          <w:tcPr>
            <w:tcW w:w="1514" w:type="dxa"/>
            <w:vMerge w:val="continue"/>
            <w:noWrap w:val="0"/>
            <w:vAlign w:val="center"/>
          </w:tcPr>
          <w:p w14:paraId="53520ADB">
            <w:pPr>
              <w:widowControl/>
              <w:jc w:val="left"/>
              <w:rPr>
                <w:rFonts w:hint="eastAsia" w:ascii="宋体" w:hAnsi="宋体" w:eastAsia="方正仿宋_GBK" w:cs="方正仿宋_GBK"/>
                <w:kern w:val="0"/>
                <w:szCs w:val="21"/>
              </w:rPr>
            </w:pPr>
          </w:p>
        </w:tc>
      </w:tr>
      <w:tr w14:paraId="0A7D8E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  <w:jc w:val="center"/>
        </w:trPr>
        <w:tc>
          <w:tcPr>
            <w:tcW w:w="480" w:type="dxa"/>
            <w:vMerge w:val="continue"/>
            <w:noWrap w:val="0"/>
            <w:vAlign w:val="center"/>
          </w:tcPr>
          <w:p w14:paraId="7ACDC451">
            <w:pPr>
              <w:widowControl/>
              <w:rPr>
                <w:rFonts w:hint="eastAsia" w:ascii="宋体" w:hAnsi="宋体" w:eastAsia="仿宋_GB2312"/>
                <w:kern w:val="0"/>
                <w:szCs w:val="21"/>
              </w:rPr>
            </w:pPr>
          </w:p>
        </w:tc>
        <w:tc>
          <w:tcPr>
            <w:tcW w:w="543" w:type="dxa"/>
            <w:vMerge w:val="continue"/>
            <w:noWrap w:val="0"/>
            <w:vAlign w:val="center"/>
          </w:tcPr>
          <w:p w14:paraId="133DB6AF">
            <w:pPr>
              <w:widowControl/>
              <w:jc w:val="center"/>
              <w:rPr>
                <w:rFonts w:hint="eastAsia" w:ascii="宋体" w:hAnsi="宋体" w:eastAsia="方正仿宋_GBK" w:cs="方正仿宋_GBK"/>
                <w:kern w:val="0"/>
                <w:szCs w:val="21"/>
              </w:rPr>
            </w:pPr>
          </w:p>
        </w:tc>
        <w:tc>
          <w:tcPr>
            <w:tcW w:w="597" w:type="dxa"/>
            <w:vMerge w:val="continue"/>
            <w:noWrap w:val="0"/>
            <w:vAlign w:val="center"/>
          </w:tcPr>
          <w:p w14:paraId="3C200C86">
            <w:pPr>
              <w:widowControl/>
              <w:jc w:val="center"/>
              <w:rPr>
                <w:rFonts w:hint="eastAsia" w:ascii="宋体" w:hAnsi="宋体" w:eastAsia="方正仿宋_GBK" w:cs="方正仿宋_GBK"/>
                <w:kern w:val="0"/>
                <w:szCs w:val="21"/>
              </w:rPr>
            </w:pPr>
          </w:p>
        </w:tc>
        <w:tc>
          <w:tcPr>
            <w:tcW w:w="977" w:type="dxa"/>
            <w:vMerge w:val="continue"/>
            <w:noWrap w:val="0"/>
            <w:vAlign w:val="center"/>
          </w:tcPr>
          <w:p w14:paraId="5CD112BE">
            <w:pPr>
              <w:widowControl/>
              <w:jc w:val="center"/>
              <w:rPr>
                <w:rFonts w:hint="eastAsia" w:ascii="宋体" w:hAnsi="宋体" w:eastAsia="方正仿宋_GBK" w:cs="方正仿宋_GBK"/>
                <w:kern w:val="0"/>
                <w:szCs w:val="21"/>
              </w:rPr>
            </w:pPr>
          </w:p>
        </w:tc>
        <w:tc>
          <w:tcPr>
            <w:tcW w:w="3994" w:type="dxa"/>
            <w:noWrap w:val="0"/>
            <w:vAlign w:val="center"/>
          </w:tcPr>
          <w:p w14:paraId="1FA5D6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方正仿宋_GBK" w:cs="方正仿宋_GBK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方正仿宋_GBK" w:cs="方正仿宋_GBK"/>
                <w:kern w:val="0"/>
                <w:sz w:val="24"/>
                <w:szCs w:val="24"/>
              </w:rPr>
              <w:t>智能监测、水肥一体化、蓄水池、塘坝、防汛设施等</w:t>
            </w:r>
          </w:p>
        </w:tc>
        <w:tc>
          <w:tcPr>
            <w:tcW w:w="1514" w:type="dxa"/>
            <w:vMerge w:val="continue"/>
            <w:noWrap w:val="0"/>
            <w:vAlign w:val="center"/>
          </w:tcPr>
          <w:p w14:paraId="2CA28598">
            <w:pPr>
              <w:widowControl/>
              <w:jc w:val="left"/>
              <w:rPr>
                <w:rFonts w:hint="eastAsia" w:ascii="宋体" w:hAnsi="宋体" w:eastAsia="方正仿宋_GBK" w:cs="方正仿宋_GBK"/>
                <w:kern w:val="0"/>
                <w:szCs w:val="21"/>
              </w:rPr>
            </w:pPr>
          </w:p>
        </w:tc>
      </w:tr>
      <w:tr w14:paraId="08E688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80" w:type="dxa"/>
            <w:vMerge w:val="continue"/>
            <w:noWrap w:val="0"/>
            <w:vAlign w:val="center"/>
          </w:tcPr>
          <w:p w14:paraId="616EAB8D">
            <w:pPr>
              <w:widowControl/>
              <w:rPr>
                <w:rFonts w:hint="eastAsia" w:ascii="宋体" w:hAnsi="宋体" w:eastAsia="仿宋_GB2312"/>
                <w:kern w:val="0"/>
                <w:szCs w:val="21"/>
              </w:rPr>
            </w:pPr>
          </w:p>
        </w:tc>
        <w:tc>
          <w:tcPr>
            <w:tcW w:w="543" w:type="dxa"/>
            <w:vMerge w:val="continue"/>
            <w:noWrap w:val="0"/>
            <w:vAlign w:val="center"/>
          </w:tcPr>
          <w:p w14:paraId="47F788AA">
            <w:pPr>
              <w:widowControl/>
              <w:jc w:val="center"/>
              <w:rPr>
                <w:rFonts w:hint="eastAsia" w:ascii="宋体" w:hAnsi="宋体" w:eastAsia="方正仿宋_GBK" w:cs="方正仿宋_GBK"/>
                <w:kern w:val="0"/>
                <w:szCs w:val="21"/>
              </w:rPr>
            </w:pPr>
          </w:p>
        </w:tc>
        <w:tc>
          <w:tcPr>
            <w:tcW w:w="597" w:type="dxa"/>
            <w:vMerge w:val="continue"/>
            <w:noWrap w:val="0"/>
            <w:vAlign w:val="center"/>
          </w:tcPr>
          <w:p w14:paraId="0171B328">
            <w:pPr>
              <w:widowControl/>
              <w:jc w:val="center"/>
              <w:rPr>
                <w:rFonts w:hint="eastAsia" w:ascii="宋体" w:hAnsi="宋体" w:eastAsia="方正仿宋_GBK" w:cs="方正仿宋_GBK"/>
                <w:kern w:val="0"/>
                <w:szCs w:val="21"/>
              </w:rPr>
            </w:pPr>
          </w:p>
        </w:tc>
        <w:tc>
          <w:tcPr>
            <w:tcW w:w="977" w:type="dxa"/>
            <w:vMerge w:val="restart"/>
            <w:noWrap w:val="0"/>
            <w:vAlign w:val="center"/>
          </w:tcPr>
          <w:p w14:paraId="31FFA1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方正仿宋_GBK" w:cs="方正仿宋_GBK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方正仿宋_GBK" w:cs="方正仿宋_GBK"/>
                <w:kern w:val="0"/>
                <w:sz w:val="24"/>
                <w:szCs w:val="24"/>
              </w:rPr>
              <w:t>养殖</w:t>
            </w:r>
          </w:p>
        </w:tc>
        <w:tc>
          <w:tcPr>
            <w:tcW w:w="3994" w:type="dxa"/>
            <w:noWrap w:val="0"/>
            <w:vAlign w:val="center"/>
          </w:tcPr>
          <w:p w14:paraId="28AE27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方正仿宋_GBK" w:cs="方正仿宋_GBK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方正仿宋_GBK" w:cs="方正仿宋_GBK"/>
                <w:kern w:val="0"/>
                <w:sz w:val="24"/>
                <w:szCs w:val="24"/>
              </w:rPr>
              <w:t>进排水渠道、场内通道、抽水配电、水泵配电等</w:t>
            </w:r>
          </w:p>
        </w:tc>
        <w:tc>
          <w:tcPr>
            <w:tcW w:w="1514" w:type="dxa"/>
            <w:vMerge w:val="continue"/>
            <w:noWrap w:val="0"/>
            <w:vAlign w:val="center"/>
          </w:tcPr>
          <w:p w14:paraId="7BB2F07F">
            <w:pPr>
              <w:widowControl/>
              <w:jc w:val="left"/>
              <w:rPr>
                <w:rFonts w:hint="eastAsia" w:ascii="宋体" w:hAnsi="宋体" w:eastAsia="方正仿宋_GBK" w:cs="方正仿宋_GBK"/>
                <w:kern w:val="0"/>
                <w:szCs w:val="21"/>
              </w:rPr>
            </w:pPr>
          </w:p>
        </w:tc>
      </w:tr>
      <w:tr w14:paraId="392343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80" w:type="dxa"/>
            <w:vMerge w:val="continue"/>
            <w:noWrap w:val="0"/>
            <w:vAlign w:val="center"/>
          </w:tcPr>
          <w:p w14:paraId="5033EDBB">
            <w:pPr>
              <w:widowControl/>
              <w:rPr>
                <w:rFonts w:hint="eastAsia" w:ascii="宋体" w:hAnsi="宋体" w:eastAsia="仿宋_GB2312"/>
                <w:kern w:val="0"/>
                <w:szCs w:val="21"/>
              </w:rPr>
            </w:pPr>
          </w:p>
        </w:tc>
        <w:tc>
          <w:tcPr>
            <w:tcW w:w="543" w:type="dxa"/>
            <w:vMerge w:val="continue"/>
            <w:noWrap w:val="0"/>
            <w:vAlign w:val="center"/>
          </w:tcPr>
          <w:p w14:paraId="643FFEF6">
            <w:pPr>
              <w:widowControl/>
              <w:jc w:val="center"/>
              <w:rPr>
                <w:rFonts w:hint="eastAsia" w:ascii="宋体" w:hAnsi="宋体" w:eastAsia="方正仿宋_GBK" w:cs="方正仿宋_GBK"/>
                <w:kern w:val="0"/>
                <w:szCs w:val="21"/>
              </w:rPr>
            </w:pPr>
          </w:p>
        </w:tc>
        <w:tc>
          <w:tcPr>
            <w:tcW w:w="597" w:type="dxa"/>
            <w:vMerge w:val="continue"/>
            <w:noWrap w:val="0"/>
            <w:vAlign w:val="center"/>
          </w:tcPr>
          <w:p w14:paraId="0657D755">
            <w:pPr>
              <w:widowControl/>
              <w:jc w:val="center"/>
              <w:rPr>
                <w:rFonts w:hint="eastAsia" w:ascii="宋体" w:hAnsi="宋体" w:eastAsia="方正仿宋_GBK" w:cs="方正仿宋_GBK"/>
                <w:kern w:val="0"/>
                <w:szCs w:val="21"/>
              </w:rPr>
            </w:pPr>
          </w:p>
        </w:tc>
        <w:tc>
          <w:tcPr>
            <w:tcW w:w="977" w:type="dxa"/>
            <w:vMerge w:val="continue"/>
            <w:noWrap w:val="0"/>
            <w:vAlign w:val="center"/>
          </w:tcPr>
          <w:p w14:paraId="70D8CB28">
            <w:pPr>
              <w:widowControl/>
              <w:jc w:val="center"/>
              <w:rPr>
                <w:rFonts w:hint="eastAsia" w:ascii="宋体" w:hAnsi="宋体" w:eastAsia="方正仿宋_GBK" w:cs="方正仿宋_GBK"/>
                <w:kern w:val="0"/>
                <w:szCs w:val="21"/>
              </w:rPr>
            </w:pPr>
          </w:p>
        </w:tc>
        <w:tc>
          <w:tcPr>
            <w:tcW w:w="3994" w:type="dxa"/>
            <w:noWrap w:val="0"/>
            <w:vAlign w:val="center"/>
          </w:tcPr>
          <w:p w14:paraId="2A0047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方正仿宋_GBK" w:cs="方正仿宋_GBK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方正仿宋_GBK" w:cs="方正仿宋_GBK"/>
                <w:kern w:val="0"/>
                <w:sz w:val="24"/>
                <w:szCs w:val="24"/>
              </w:rPr>
              <w:t>饲草饲料存储、粪污处理、检验检疫、尾水处理、清洗消毒、冷冻速冻、病死动物无害化处理、管理用房（含不破坏耕作层，非永久性建设，不对外经营供内部工作人员使用的简易用餐场所、临时宿舍、厕所）等</w:t>
            </w:r>
          </w:p>
        </w:tc>
        <w:tc>
          <w:tcPr>
            <w:tcW w:w="1514" w:type="dxa"/>
            <w:vMerge w:val="continue"/>
            <w:noWrap w:val="0"/>
            <w:vAlign w:val="center"/>
          </w:tcPr>
          <w:p w14:paraId="2A80025D">
            <w:pPr>
              <w:widowControl/>
              <w:jc w:val="left"/>
              <w:rPr>
                <w:rFonts w:hint="eastAsia" w:ascii="宋体" w:hAnsi="宋体" w:eastAsia="方正仿宋_GBK" w:cs="方正仿宋_GBK"/>
                <w:kern w:val="0"/>
                <w:szCs w:val="21"/>
              </w:rPr>
            </w:pPr>
          </w:p>
        </w:tc>
      </w:tr>
      <w:tr w14:paraId="3ECEE1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80" w:type="dxa"/>
            <w:vMerge w:val="continue"/>
            <w:noWrap w:val="0"/>
            <w:vAlign w:val="center"/>
          </w:tcPr>
          <w:p w14:paraId="5C1CBE38">
            <w:pPr>
              <w:widowControl/>
              <w:rPr>
                <w:rFonts w:hint="eastAsia" w:ascii="宋体" w:hAnsi="宋体" w:eastAsia="仿宋_GB2312"/>
                <w:kern w:val="0"/>
                <w:szCs w:val="21"/>
              </w:rPr>
            </w:pPr>
          </w:p>
        </w:tc>
        <w:tc>
          <w:tcPr>
            <w:tcW w:w="543" w:type="dxa"/>
            <w:vMerge w:val="continue"/>
            <w:noWrap w:val="0"/>
            <w:vAlign w:val="center"/>
          </w:tcPr>
          <w:p w14:paraId="0DFBB619">
            <w:pPr>
              <w:widowControl/>
              <w:jc w:val="center"/>
              <w:rPr>
                <w:rFonts w:hint="eastAsia" w:ascii="宋体" w:hAnsi="宋体" w:eastAsia="方正仿宋_GBK" w:cs="方正仿宋_GBK"/>
                <w:kern w:val="0"/>
                <w:szCs w:val="21"/>
              </w:rPr>
            </w:pPr>
          </w:p>
        </w:tc>
        <w:tc>
          <w:tcPr>
            <w:tcW w:w="597" w:type="dxa"/>
            <w:vMerge w:val="continue"/>
            <w:noWrap w:val="0"/>
            <w:vAlign w:val="center"/>
          </w:tcPr>
          <w:p w14:paraId="31B2D53F">
            <w:pPr>
              <w:widowControl/>
              <w:jc w:val="center"/>
              <w:rPr>
                <w:rFonts w:hint="eastAsia" w:ascii="宋体" w:hAnsi="宋体" w:eastAsia="方正仿宋_GBK" w:cs="方正仿宋_GBK"/>
                <w:kern w:val="0"/>
                <w:szCs w:val="21"/>
              </w:rPr>
            </w:pPr>
          </w:p>
        </w:tc>
        <w:tc>
          <w:tcPr>
            <w:tcW w:w="977" w:type="dxa"/>
            <w:vMerge w:val="continue"/>
            <w:noWrap w:val="0"/>
            <w:vAlign w:val="center"/>
          </w:tcPr>
          <w:p w14:paraId="341E0AC9">
            <w:pPr>
              <w:widowControl/>
              <w:jc w:val="center"/>
              <w:rPr>
                <w:rFonts w:hint="eastAsia" w:ascii="宋体" w:hAnsi="宋体" w:eastAsia="方正仿宋_GBK" w:cs="方正仿宋_GBK"/>
                <w:kern w:val="0"/>
                <w:szCs w:val="21"/>
              </w:rPr>
            </w:pPr>
          </w:p>
        </w:tc>
        <w:tc>
          <w:tcPr>
            <w:tcW w:w="3994" w:type="dxa"/>
            <w:noWrap w:val="0"/>
            <w:vAlign w:val="center"/>
          </w:tcPr>
          <w:p w14:paraId="1A1467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方正仿宋_GBK" w:cs="方正仿宋_GBK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方正仿宋_GBK" w:cs="方正仿宋_GBK"/>
                <w:kern w:val="0"/>
                <w:sz w:val="24"/>
                <w:szCs w:val="24"/>
              </w:rPr>
              <w:t>饲草饲料加工、鱼获渔具存放、隔离、暂养、智能监测、蓄水池、温控设备、生物质有机肥料生产等</w:t>
            </w:r>
          </w:p>
        </w:tc>
        <w:tc>
          <w:tcPr>
            <w:tcW w:w="1514" w:type="dxa"/>
            <w:vMerge w:val="continue"/>
            <w:noWrap w:val="0"/>
            <w:vAlign w:val="center"/>
          </w:tcPr>
          <w:p w14:paraId="3E346160">
            <w:pPr>
              <w:widowControl/>
              <w:jc w:val="left"/>
              <w:rPr>
                <w:rFonts w:hint="eastAsia" w:ascii="宋体" w:hAnsi="宋体" w:eastAsia="方正仿宋_GBK" w:cs="方正仿宋_GBK"/>
                <w:kern w:val="0"/>
                <w:szCs w:val="21"/>
              </w:rPr>
            </w:pPr>
          </w:p>
        </w:tc>
      </w:tr>
      <w:tr w14:paraId="4BEEED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2" w:hRule="atLeast"/>
          <w:jc w:val="center"/>
        </w:trPr>
        <w:tc>
          <w:tcPr>
            <w:tcW w:w="480" w:type="dxa"/>
            <w:vMerge w:val="continue"/>
            <w:noWrap w:val="0"/>
            <w:vAlign w:val="center"/>
          </w:tcPr>
          <w:p w14:paraId="052A8CAE">
            <w:pPr>
              <w:widowControl/>
              <w:rPr>
                <w:rFonts w:hint="eastAsia" w:ascii="宋体" w:hAnsi="宋体" w:eastAsia="仿宋_GB2312"/>
                <w:kern w:val="0"/>
                <w:szCs w:val="21"/>
              </w:rPr>
            </w:pPr>
          </w:p>
        </w:tc>
        <w:tc>
          <w:tcPr>
            <w:tcW w:w="543" w:type="dxa"/>
            <w:vMerge w:val="continue"/>
            <w:noWrap w:val="0"/>
            <w:vAlign w:val="center"/>
          </w:tcPr>
          <w:p w14:paraId="05D5886E">
            <w:pPr>
              <w:widowControl/>
              <w:jc w:val="center"/>
              <w:rPr>
                <w:rFonts w:hint="eastAsia" w:ascii="宋体" w:hAnsi="宋体" w:eastAsia="方正仿宋_GBK" w:cs="方正仿宋_GBK"/>
                <w:kern w:val="0"/>
                <w:szCs w:val="21"/>
              </w:rPr>
            </w:pPr>
          </w:p>
        </w:tc>
        <w:tc>
          <w:tcPr>
            <w:tcW w:w="597" w:type="dxa"/>
            <w:vMerge w:val="restart"/>
            <w:noWrap w:val="0"/>
            <w:vAlign w:val="center"/>
          </w:tcPr>
          <w:p w14:paraId="311145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方正仿宋_GBK" w:cs="方正仿宋_GBK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方正仿宋_GBK" w:cs="方正仿宋_GBK"/>
                <w:kern w:val="0"/>
                <w:sz w:val="24"/>
                <w:szCs w:val="24"/>
              </w:rPr>
              <w:t>配套设施用地</w:t>
            </w:r>
          </w:p>
        </w:tc>
        <w:tc>
          <w:tcPr>
            <w:tcW w:w="977" w:type="dxa"/>
            <w:vMerge w:val="restart"/>
            <w:noWrap w:val="0"/>
            <w:vAlign w:val="center"/>
          </w:tcPr>
          <w:p w14:paraId="498DF31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方正仿宋_GBK" w:cs="方正仿宋_GBK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方正仿宋_GBK" w:cs="方正仿宋_GBK"/>
                <w:kern w:val="0"/>
                <w:sz w:val="24"/>
                <w:szCs w:val="24"/>
              </w:rPr>
              <w:t>种植</w:t>
            </w:r>
          </w:p>
        </w:tc>
        <w:tc>
          <w:tcPr>
            <w:tcW w:w="3994" w:type="dxa"/>
            <w:noWrap w:val="0"/>
            <w:vAlign w:val="center"/>
          </w:tcPr>
          <w:p w14:paraId="374E099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方正仿宋_GBK" w:cs="方正仿宋_GBK"/>
                <w:kern w:val="0"/>
                <w:sz w:val="24"/>
                <w:szCs w:val="24"/>
              </w:rPr>
              <w:t>烘干晾晒、分拣包装、仓储保鲜等</w:t>
            </w:r>
          </w:p>
        </w:tc>
        <w:tc>
          <w:tcPr>
            <w:tcW w:w="1514" w:type="dxa"/>
            <w:vMerge w:val="continue"/>
            <w:noWrap w:val="0"/>
            <w:vAlign w:val="center"/>
          </w:tcPr>
          <w:p w14:paraId="2FE9F9C5">
            <w:pPr>
              <w:widowControl/>
              <w:jc w:val="left"/>
              <w:rPr>
                <w:rFonts w:hint="eastAsia" w:ascii="宋体" w:hAnsi="宋体" w:eastAsia="方正仿宋_GBK" w:cs="方正仿宋_GBK"/>
                <w:kern w:val="0"/>
                <w:szCs w:val="21"/>
              </w:rPr>
            </w:pPr>
          </w:p>
        </w:tc>
      </w:tr>
      <w:tr w14:paraId="68E19A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7" w:hRule="atLeast"/>
          <w:jc w:val="center"/>
        </w:trPr>
        <w:tc>
          <w:tcPr>
            <w:tcW w:w="480" w:type="dxa"/>
            <w:vMerge w:val="continue"/>
            <w:noWrap w:val="0"/>
            <w:vAlign w:val="center"/>
          </w:tcPr>
          <w:p w14:paraId="038CAF17">
            <w:pPr>
              <w:widowControl/>
              <w:rPr>
                <w:rFonts w:hint="eastAsia" w:ascii="宋体" w:hAnsi="宋体" w:eastAsia="仿宋_GB2312"/>
                <w:kern w:val="0"/>
                <w:szCs w:val="21"/>
              </w:rPr>
            </w:pPr>
          </w:p>
        </w:tc>
        <w:tc>
          <w:tcPr>
            <w:tcW w:w="543" w:type="dxa"/>
            <w:vMerge w:val="continue"/>
            <w:noWrap w:val="0"/>
            <w:vAlign w:val="center"/>
          </w:tcPr>
          <w:p w14:paraId="35C0F42D">
            <w:pPr>
              <w:widowControl/>
              <w:jc w:val="center"/>
              <w:rPr>
                <w:rFonts w:hint="eastAsia" w:ascii="宋体" w:hAnsi="宋体" w:eastAsia="方正仿宋_GBK" w:cs="方正仿宋_GBK"/>
                <w:kern w:val="0"/>
                <w:szCs w:val="21"/>
              </w:rPr>
            </w:pPr>
          </w:p>
        </w:tc>
        <w:tc>
          <w:tcPr>
            <w:tcW w:w="597" w:type="dxa"/>
            <w:vMerge w:val="continue"/>
            <w:noWrap w:val="0"/>
            <w:vAlign w:val="center"/>
          </w:tcPr>
          <w:p w14:paraId="33DCDDEF">
            <w:pPr>
              <w:widowControl/>
              <w:jc w:val="center"/>
              <w:rPr>
                <w:rFonts w:hint="eastAsia" w:ascii="宋体" w:hAnsi="宋体" w:eastAsia="方正仿宋_GBK" w:cs="方正仿宋_GBK"/>
                <w:kern w:val="0"/>
                <w:szCs w:val="21"/>
              </w:rPr>
            </w:pPr>
          </w:p>
        </w:tc>
        <w:tc>
          <w:tcPr>
            <w:tcW w:w="977" w:type="dxa"/>
            <w:vMerge w:val="continue"/>
            <w:noWrap w:val="0"/>
            <w:vAlign w:val="center"/>
          </w:tcPr>
          <w:p w14:paraId="59A3030F">
            <w:pPr>
              <w:widowControl/>
              <w:jc w:val="center"/>
              <w:rPr>
                <w:rFonts w:hint="eastAsia" w:ascii="宋体" w:hAnsi="宋体" w:eastAsia="方正仿宋_GBK" w:cs="方正仿宋_GBK"/>
                <w:kern w:val="0"/>
                <w:szCs w:val="21"/>
              </w:rPr>
            </w:pPr>
          </w:p>
        </w:tc>
        <w:tc>
          <w:tcPr>
            <w:tcW w:w="3994" w:type="dxa"/>
            <w:noWrap w:val="0"/>
            <w:vAlign w:val="center"/>
          </w:tcPr>
          <w:p w14:paraId="11C178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宋体" w:hAnsi="宋体" w:eastAsia="方正仿宋_GBK" w:cs="方正仿宋_GBK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方正仿宋_GBK" w:cs="方正仿宋_GBK"/>
                <w:kern w:val="0"/>
                <w:sz w:val="24"/>
                <w:szCs w:val="24"/>
              </w:rPr>
              <w:t>咖啡及茶叶初制</w:t>
            </w:r>
          </w:p>
        </w:tc>
        <w:tc>
          <w:tcPr>
            <w:tcW w:w="1514" w:type="dxa"/>
            <w:vMerge w:val="continue"/>
            <w:noWrap w:val="0"/>
            <w:vAlign w:val="center"/>
          </w:tcPr>
          <w:p w14:paraId="267BAD60">
            <w:pPr>
              <w:spacing w:line="360" w:lineRule="exact"/>
              <w:rPr>
                <w:rFonts w:hint="eastAsia" w:ascii="宋体" w:hAnsi="宋体" w:eastAsia="方正仿宋_GBK" w:cs="方正仿宋_GBK"/>
                <w:kern w:val="0"/>
                <w:szCs w:val="21"/>
              </w:rPr>
            </w:pPr>
          </w:p>
        </w:tc>
      </w:tr>
    </w:tbl>
    <w:p w14:paraId="65EE4616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0E9BB97A-4E14-4456-AAFA-6710898EBF87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8857CEF7-1BBD-44AC-955D-FCFDE53D2BA4}"/>
  </w:font>
  <w:font w:name="方正黑体_GBK">
    <w:panose1 w:val="02010600010101010101"/>
    <w:charset w:val="86"/>
    <w:family w:val="script"/>
    <w:pitch w:val="default"/>
    <w:sig w:usb0="00000001" w:usb1="080E0000" w:usb2="00000000" w:usb3="00000000" w:csb0="00040000" w:csb1="00000000"/>
    <w:embedRegular r:id="rId3" w:fontKey="{29E70404-7221-4DAA-94C2-3713E6BEFE20}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4" w:fontKey="{7E4DFB9B-1492-488A-AF87-9A8C199956BD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5" w:fontKey="{35EE055B-8DE4-45E2-AF77-5969822BB175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D976D5"/>
    <w:rsid w:val="01C516A1"/>
    <w:rsid w:val="0238044C"/>
    <w:rsid w:val="047258C7"/>
    <w:rsid w:val="05CE62E0"/>
    <w:rsid w:val="064177AA"/>
    <w:rsid w:val="07EA30E9"/>
    <w:rsid w:val="0835792E"/>
    <w:rsid w:val="08F66710"/>
    <w:rsid w:val="0A4B2F82"/>
    <w:rsid w:val="0A7656FA"/>
    <w:rsid w:val="0AFE4899"/>
    <w:rsid w:val="0C062C2F"/>
    <w:rsid w:val="0FA64FE5"/>
    <w:rsid w:val="0FAE0C91"/>
    <w:rsid w:val="11B470B1"/>
    <w:rsid w:val="13C23B0B"/>
    <w:rsid w:val="13C61ACD"/>
    <w:rsid w:val="151C3799"/>
    <w:rsid w:val="1763307A"/>
    <w:rsid w:val="17BB34D4"/>
    <w:rsid w:val="19480231"/>
    <w:rsid w:val="1A174258"/>
    <w:rsid w:val="1A2F63A2"/>
    <w:rsid w:val="1C523383"/>
    <w:rsid w:val="1D6051C9"/>
    <w:rsid w:val="1FE364A4"/>
    <w:rsid w:val="20316DB2"/>
    <w:rsid w:val="216B7714"/>
    <w:rsid w:val="22E846E5"/>
    <w:rsid w:val="23116F6F"/>
    <w:rsid w:val="24175CD2"/>
    <w:rsid w:val="24627D0E"/>
    <w:rsid w:val="255A40F4"/>
    <w:rsid w:val="25801D6A"/>
    <w:rsid w:val="267F7337"/>
    <w:rsid w:val="27537CDA"/>
    <w:rsid w:val="2C180B8D"/>
    <w:rsid w:val="2D566398"/>
    <w:rsid w:val="2E254D46"/>
    <w:rsid w:val="2E53226B"/>
    <w:rsid w:val="30301667"/>
    <w:rsid w:val="31AE3DFF"/>
    <w:rsid w:val="31E60784"/>
    <w:rsid w:val="33005EB6"/>
    <w:rsid w:val="33D61D32"/>
    <w:rsid w:val="350A0C28"/>
    <w:rsid w:val="3652650B"/>
    <w:rsid w:val="39305C77"/>
    <w:rsid w:val="3CFC1F8D"/>
    <w:rsid w:val="3D9C7583"/>
    <w:rsid w:val="3ED976D5"/>
    <w:rsid w:val="43C01E88"/>
    <w:rsid w:val="49AC60B3"/>
    <w:rsid w:val="4AD14662"/>
    <w:rsid w:val="4C141812"/>
    <w:rsid w:val="4C716858"/>
    <w:rsid w:val="4EC975B3"/>
    <w:rsid w:val="50AE71B1"/>
    <w:rsid w:val="518F2F8C"/>
    <w:rsid w:val="51B07FF9"/>
    <w:rsid w:val="52FF05BB"/>
    <w:rsid w:val="539360C0"/>
    <w:rsid w:val="558651B1"/>
    <w:rsid w:val="56677E1F"/>
    <w:rsid w:val="586C56F4"/>
    <w:rsid w:val="58ED5B81"/>
    <w:rsid w:val="59490913"/>
    <w:rsid w:val="5950093A"/>
    <w:rsid w:val="59D021AA"/>
    <w:rsid w:val="5A7305E7"/>
    <w:rsid w:val="5B9D1953"/>
    <w:rsid w:val="5C6B6CFA"/>
    <w:rsid w:val="5CD57B3A"/>
    <w:rsid w:val="5FC01ED7"/>
    <w:rsid w:val="621D7858"/>
    <w:rsid w:val="62963BFD"/>
    <w:rsid w:val="62C371D1"/>
    <w:rsid w:val="645C2D80"/>
    <w:rsid w:val="6500002F"/>
    <w:rsid w:val="652C04A2"/>
    <w:rsid w:val="68C41083"/>
    <w:rsid w:val="68F46907"/>
    <w:rsid w:val="6956490A"/>
    <w:rsid w:val="6C1E4A4F"/>
    <w:rsid w:val="6CA47842"/>
    <w:rsid w:val="705B4861"/>
    <w:rsid w:val="73BC7A86"/>
    <w:rsid w:val="73BE1C74"/>
    <w:rsid w:val="75153AFB"/>
    <w:rsid w:val="779459B3"/>
    <w:rsid w:val="78004B75"/>
    <w:rsid w:val="78BE5468"/>
    <w:rsid w:val="7BF475C6"/>
    <w:rsid w:val="7C754207"/>
    <w:rsid w:val="7D296A53"/>
    <w:rsid w:val="7F454217"/>
    <w:rsid w:val="7FD037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before="170" w:beforeLines="0" w:afterLines="0"/>
      <w:ind w:left="117"/>
    </w:pPr>
    <w:rPr>
      <w:rFonts w:hint="eastAsia" w:ascii="宋体" w:hAnsi="宋体" w:eastAsia="宋体"/>
      <w:sz w:val="31"/>
    </w:rPr>
  </w:style>
  <w:style w:type="paragraph" w:styleId="3">
    <w:name w:val="toc 5"/>
    <w:basedOn w:val="1"/>
    <w:next w:val="1"/>
    <w:qFormat/>
    <w:uiPriority w:val="0"/>
    <w:pPr>
      <w:ind w:left="1680" w:leftChars="800"/>
    </w:pPr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云南省林业厅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2026-01-08T08:18:00Z</dcterms:created>
  <dc:creator>微信用户</dc:creator>
  <cp:lastModifiedBy>微信用户</cp:lastModifiedBy>
  <dcterms:modified xsi:type="dcterms:W3CDTF">2026-01-08T08:18:47Z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BA64C57DC92044F3AEEA47FBC2BC99F3_11</vt:lpwstr>
  </property>
  <property fmtid="{D5CDD505-2E9C-101B-9397-08002B2CF9AE}" pid="4" name="KSOTemplateDocerSaveRecord">
    <vt:lpwstr>eyJoZGlkIjoiM2UyNGQ3YjUwMTViZThiNGNjZGE5NTI5MzE1ZDNkMDgiLCJ1c2VySWQiOiIxNDAwMTY2MTcwIn0=</vt:lpwstr>
  </property>
</Properties>
</file>