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44328">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eastAsia" w:ascii="宋体" w:hAnsi="宋体" w:eastAsia="方正小标宋_GBK"/>
          <w:bCs/>
          <w:color w:val="000000"/>
          <w:sz w:val="32"/>
          <w:szCs w:val="32"/>
          <w:lang w:bidi="ar"/>
        </w:rPr>
      </w:pPr>
      <w:r>
        <w:rPr>
          <w:rFonts w:hint="eastAsia" w:ascii="宋体" w:hAnsi="宋体" w:eastAsia="方正黑体_GBK" w:cs="方正黑体_GBK"/>
          <w:bCs/>
          <w:color w:val="000000"/>
          <w:kern w:val="0"/>
          <w:sz w:val="32"/>
          <w:szCs w:val="32"/>
          <w:lang w:bidi="ar"/>
        </w:rPr>
        <w:t>附件</w:t>
      </w:r>
    </w:p>
    <w:p w14:paraId="7B63DB61">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方正小标宋_GBK"/>
          <w:bCs/>
          <w:color w:val="000000"/>
          <w:sz w:val="44"/>
          <w:szCs w:val="44"/>
          <w:lang w:bidi="ar"/>
        </w:rPr>
      </w:pPr>
      <w:r>
        <w:rPr>
          <w:rFonts w:hint="eastAsia" w:ascii="宋体" w:hAnsi="宋体" w:eastAsia="方正小标宋_GBK"/>
          <w:bCs/>
          <w:color w:val="000000"/>
          <w:sz w:val="44"/>
          <w:szCs w:val="44"/>
          <w:lang w:bidi="ar"/>
        </w:rPr>
        <w:t>云南省省级绿色矿山建设评价指标（</w:t>
      </w:r>
      <w:r>
        <w:rPr>
          <w:rFonts w:hint="eastAsia" w:ascii="宋体" w:hAnsi="宋体" w:eastAsia="方正小标宋_GBK"/>
          <w:bCs/>
          <w:sz w:val="44"/>
          <w:szCs w:val="44"/>
          <w:lang w:bidi="ar"/>
        </w:rPr>
        <w:t>2026年修订</w:t>
      </w:r>
      <w:r>
        <w:rPr>
          <w:rFonts w:hint="eastAsia" w:ascii="宋体" w:hAnsi="宋体" w:eastAsia="方正小标宋_GBK"/>
          <w:bCs/>
          <w:color w:val="000000"/>
          <w:sz w:val="44"/>
          <w:szCs w:val="44"/>
          <w:lang w:bidi="ar"/>
        </w:rPr>
        <w:t>）</w:t>
      </w:r>
    </w:p>
    <w:tbl>
      <w:tblPr>
        <w:tblStyle w:val="6"/>
        <w:tblW w:w="14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38"/>
        <w:gridCol w:w="9028"/>
        <w:gridCol w:w="3497"/>
      </w:tblGrid>
      <w:tr w14:paraId="6D5C0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2438" w:type="dxa"/>
            <w:noWrap w:val="0"/>
            <w:tcMar>
              <w:top w:w="28" w:type="dxa"/>
              <w:left w:w="28" w:type="dxa"/>
              <w:bottom w:w="28" w:type="dxa"/>
              <w:right w:w="28" w:type="dxa"/>
            </w:tcMar>
            <w:vAlign w:val="center"/>
          </w:tcPr>
          <w:p w14:paraId="318CE4FB">
            <w:pPr>
              <w:spacing w:line="500" w:lineRule="exact"/>
              <w:jc w:val="center"/>
              <w:outlineLvl w:val="0"/>
              <w:rPr>
                <w:rFonts w:hint="eastAsia" w:ascii="宋体" w:hAnsi="宋体" w:eastAsia="方正黑体_GBK"/>
                <w:b/>
                <w:bCs/>
                <w:color w:val="000000"/>
                <w:kern w:val="44"/>
                <w:sz w:val="24"/>
                <w:lang w:bidi="ar"/>
              </w:rPr>
            </w:pPr>
            <w:r>
              <w:rPr>
                <w:rFonts w:hint="eastAsia" w:ascii="宋体" w:hAnsi="宋体" w:eastAsia="方正黑体_GBK"/>
                <w:bCs/>
                <w:color w:val="000000"/>
                <w:kern w:val="44"/>
                <w:sz w:val="24"/>
                <w:lang w:bidi="ar"/>
              </w:rPr>
              <w:t>先决条件</w:t>
            </w:r>
          </w:p>
        </w:tc>
        <w:tc>
          <w:tcPr>
            <w:tcW w:w="9028" w:type="dxa"/>
            <w:noWrap w:val="0"/>
            <w:tcMar>
              <w:top w:w="28" w:type="dxa"/>
              <w:left w:w="28" w:type="dxa"/>
              <w:bottom w:w="28" w:type="dxa"/>
              <w:right w:w="28" w:type="dxa"/>
            </w:tcMar>
            <w:vAlign w:val="center"/>
          </w:tcPr>
          <w:p w14:paraId="2DE53B66">
            <w:pPr>
              <w:spacing w:line="500" w:lineRule="exact"/>
              <w:jc w:val="center"/>
              <w:outlineLvl w:val="0"/>
              <w:rPr>
                <w:rFonts w:hint="eastAsia" w:ascii="宋体" w:hAnsi="宋体" w:eastAsia="方正黑体_GBK"/>
                <w:b/>
                <w:bCs/>
                <w:color w:val="000000"/>
                <w:kern w:val="44"/>
                <w:sz w:val="24"/>
                <w:lang w:bidi="ar"/>
              </w:rPr>
            </w:pPr>
            <w:r>
              <w:rPr>
                <w:rFonts w:hint="eastAsia" w:ascii="宋体" w:hAnsi="宋体" w:eastAsia="方正黑体_GBK"/>
                <w:bCs/>
                <w:color w:val="000000"/>
                <w:kern w:val="44"/>
                <w:sz w:val="24"/>
                <w:lang w:bidi="ar"/>
              </w:rPr>
              <w:t>要求</w:t>
            </w:r>
          </w:p>
        </w:tc>
        <w:tc>
          <w:tcPr>
            <w:tcW w:w="3497" w:type="dxa"/>
            <w:noWrap w:val="0"/>
            <w:tcMar>
              <w:top w:w="28" w:type="dxa"/>
              <w:left w:w="28" w:type="dxa"/>
              <w:bottom w:w="28" w:type="dxa"/>
              <w:right w:w="28" w:type="dxa"/>
            </w:tcMar>
            <w:vAlign w:val="center"/>
          </w:tcPr>
          <w:p w14:paraId="11D5F95A">
            <w:pPr>
              <w:spacing w:line="500" w:lineRule="exact"/>
              <w:jc w:val="center"/>
              <w:outlineLvl w:val="0"/>
              <w:rPr>
                <w:rFonts w:hint="eastAsia" w:ascii="宋体" w:hAnsi="宋体" w:eastAsia="方正黑体_GBK"/>
                <w:b/>
                <w:bCs/>
                <w:color w:val="000000"/>
                <w:kern w:val="44"/>
                <w:sz w:val="24"/>
                <w:lang w:bidi="ar"/>
              </w:rPr>
            </w:pPr>
            <w:r>
              <w:rPr>
                <w:rFonts w:hint="eastAsia" w:ascii="宋体" w:hAnsi="宋体" w:eastAsia="方正黑体_GBK"/>
                <w:bCs/>
                <w:color w:val="000000"/>
                <w:kern w:val="44"/>
                <w:sz w:val="24"/>
                <w:lang w:bidi="ar"/>
              </w:rPr>
              <w:t>说明</w:t>
            </w:r>
          </w:p>
        </w:tc>
      </w:tr>
      <w:tr w14:paraId="2FDA0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7" w:hRule="atLeast"/>
          <w:jc w:val="center"/>
        </w:trPr>
        <w:tc>
          <w:tcPr>
            <w:tcW w:w="2438" w:type="dxa"/>
            <w:noWrap w:val="0"/>
            <w:tcMar>
              <w:top w:w="12" w:type="dxa"/>
              <w:left w:w="12" w:type="dxa"/>
              <w:right w:w="12" w:type="dxa"/>
            </w:tcMar>
            <w:vAlign w:val="center"/>
          </w:tcPr>
          <w:p w14:paraId="293AAE9B">
            <w:pPr>
              <w:spacing w:line="300" w:lineRule="exact"/>
              <w:jc w:val="center"/>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手续齐全，证照合法有效</w:t>
            </w:r>
          </w:p>
        </w:tc>
        <w:tc>
          <w:tcPr>
            <w:tcW w:w="9028" w:type="dxa"/>
            <w:noWrap w:val="0"/>
            <w:tcMar>
              <w:top w:w="12" w:type="dxa"/>
              <w:left w:w="12" w:type="dxa"/>
              <w:right w:w="12" w:type="dxa"/>
            </w:tcMar>
            <w:vAlign w:val="center"/>
          </w:tcPr>
          <w:p w14:paraId="78574501">
            <w:pPr>
              <w:spacing w:line="300" w:lineRule="exact"/>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《采矿许可证》《安全生产许可证》《营业执照》证照合法有效，</w:t>
            </w:r>
            <w:r>
              <w:rPr>
                <w:rFonts w:hint="eastAsia" w:ascii="宋体" w:hAnsi="宋体" w:eastAsia="方正仿宋_GBK" w:cs="方正仿宋_GBK"/>
                <w:kern w:val="0"/>
                <w:sz w:val="24"/>
                <w:shd w:val="clear" w:color="auto" w:fill="FFFFFF"/>
              </w:rPr>
              <w:t>依法办理环评和排污许可手续，并依法完成竣工环保验收。</w:t>
            </w:r>
          </w:p>
        </w:tc>
        <w:tc>
          <w:tcPr>
            <w:tcW w:w="3497" w:type="dxa"/>
            <w:vMerge w:val="restart"/>
            <w:noWrap w:val="0"/>
            <w:tcMar>
              <w:top w:w="12" w:type="dxa"/>
              <w:left w:w="12" w:type="dxa"/>
              <w:right w:w="12" w:type="dxa"/>
            </w:tcMar>
            <w:vAlign w:val="center"/>
          </w:tcPr>
          <w:p w14:paraId="2CA3615C">
            <w:pPr>
              <w:spacing w:line="300" w:lineRule="exact"/>
              <w:rPr>
                <w:rFonts w:hint="eastAsia" w:ascii="宋体" w:hAnsi="宋体" w:eastAsia="方正仿宋_GBK" w:cs="方正仿宋_GBK"/>
                <w:color w:val="000000"/>
                <w:sz w:val="24"/>
                <w:lang w:bidi="ar"/>
              </w:rPr>
            </w:pPr>
            <w:r>
              <w:rPr>
                <w:rFonts w:hint="eastAsia" w:ascii="宋体" w:hAnsi="宋体" w:eastAsia="方正仿宋_GBK" w:cs="方正仿宋_GBK"/>
                <w:color w:val="000000"/>
                <w:sz w:val="24"/>
                <w:lang w:bidi="ar"/>
              </w:rPr>
              <w:br w:type="textWrapping"/>
            </w:r>
            <w:r>
              <w:rPr>
                <w:rFonts w:hint="eastAsia" w:ascii="宋体" w:hAnsi="宋体" w:eastAsia="方正仿宋_GBK" w:cs="方正仿宋_GBK"/>
                <w:color w:val="000000"/>
                <w:sz w:val="24"/>
                <w:lang w:bidi="ar"/>
              </w:rPr>
              <w:t xml:space="preserve">       合格  </w:t>
            </w:r>
            <w:r>
              <w:rPr>
                <w:rFonts w:hint="eastAsia" w:ascii="宋体" w:hAnsi="宋体" w:eastAsia="方正仿宋_GBK" w:cs="方正仿宋_GBK"/>
                <w:color w:val="000000"/>
                <w:sz w:val="24"/>
                <w:lang w:val="en-US" w:eastAsia="zh-CN" w:bidi="ar"/>
              </w:rPr>
              <w:t xml:space="preserve"> </w:t>
            </w:r>
            <w:r>
              <w:rPr>
                <w:rFonts w:hint="eastAsia" w:ascii="宋体" w:hAnsi="宋体" w:eastAsia="方正仿宋_GBK" w:cs="方正仿宋_GBK"/>
                <w:color w:val="000000"/>
                <w:sz w:val="24"/>
                <w:lang w:bidi="ar"/>
              </w:rPr>
              <w:t xml:space="preserve">  □</w:t>
            </w:r>
            <w:r>
              <w:rPr>
                <w:rFonts w:hint="eastAsia" w:ascii="宋体" w:hAnsi="宋体" w:eastAsia="方正仿宋_GBK" w:cs="方正仿宋_GBK"/>
                <w:color w:val="000000"/>
                <w:sz w:val="24"/>
                <w:lang w:bidi="ar"/>
              </w:rPr>
              <w:br w:type="textWrapping"/>
            </w:r>
            <w:r>
              <w:rPr>
                <w:rFonts w:hint="eastAsia" w:ascii="宋体" w:hAnsi="宋体" w:eastAsia="方正仿宋_GBK" w:cs="方正仿宋_GBK"/>
                <w:color w:val="000000"/>
                <w:sz w:val="24"/>
                <w:lang w:bidi="ar"/>
              </w:rPr>
              <w:t xml:space="preserve">       不合格   □</w:t>
            </w:r>
          </w:p>
          <w:p w14:paraId="0B8FFA53">
            <w:pPr>
              <w:spacing w:line="300" w:lineRule="exact"/>
              <w:rPr>
                <w:rFonts w:hint="eastAsia" w:ascii="宋体" w:hAnsi="宋体" w:eastAsia="方正仿宋_GBK" w:cs="方正仿宋_GBK"/>
                <w:color w:val="000000"/>
                <w:sz w:val="24"/>
              </w:rPr>
            </w:pPr>
          </w:p>
          <w:p w14:paraId="2D40D36B">
            <w:pPr>
              <w:spacing w:line="300" w:lineRule="exact"/>
              <w:rPr>
                <w:rFonts w:hint="eastAsia" w:ascii="宋体" w:hAnsi="宋体" w:eastAsia="方正仿宋_GBK" w:cs="方正仿宋_GBK"/>
                <w:color w:val="000000"/>
                <w:sz w:val="24"/>
              </w:rPr>
            </w:pPr>
            <w:r>
              <w:rPr>
                <w:rFonts w:hint="eastAsia" w:ascii="宋体" w:hAnsi="宋体" w:eastAsia="方正仿宋_GBK" w:cs="方正仿宋_GBK"/>
                <w:color w:val="000000"/>
                <w:sz w:val="24"/>
              </w:rPr>
              <w:t>满足所有先决条件方可进行打分评价，其中1条不满足的，即为不合格。</w:t>
            </w:r>
          </w:p>
          <w:p w14:paraId="6641BB60">
            <w:pPr>
              <w:spacing w:line="300" w:lineRule="exact"/>
              <w:rPr>
                <w:rFonts w:hint="eastAsia" w:ascii="宋体" w:hAnsi="宋体" w:eastAsia="方正仿宋_GBK" w:cs="方正仿宋_GBK"/>
                <w:b/>
                <w:color w:val="000000"/>
                <w:szCs w:val="40"/>
                <w:lang w:bidi="ar"/>
              </w:rPr>
            </w:pPr>
          </w:p>
        </w:tc>
      </w:tr>
      <w:tr w14:paraId="13E87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7" w:hRule="atLeast"/>
          <w:jc w:val="center"/>
        </w:trPr>
        <w:tc>
          <w:tcPr>
            <w:tcW w:w="2438" w:type="dxa"/>
            <w:noWrap w:val="0"/>
            <w:tcMar>
              <w:top w:w="12" w:type="dxa"/>
              <w:left w:w="12" w:type="dxa"/>
              <w:right w:w="12" w:type="dxa"/>
            </w:tcMar>
            <w:vAlign w:val="center"/>
          </w:tcPr>
          <w:p w14:paraId="0BBCBCAD">
            <w:pPr>
              <w:spacing w:line="300" w:lineRule="exact"/>
              <w:jc w:val="center"/>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三年内未受行政处罚或已整改到位</w:t>
            </w:r>
          </w:p>
        </w:tc>
        <w:tc>
          <w:tcPr>
            <w:tcW w:w="9028" w:type="dxa"/>
            <w:noWrap w:val="0"/>
            <w:tcMar>
              <w:top w:w="12" w:type="dxa"/>
              <w:left w:w="12" w:type="dxa"/>
              <w:right w:w="12" w:type="dxa"/>
            </w:tcMar>
            <w:vAlign w:val="center"/>
          </w:tcPr>
          <w:p w14:paraId="6383A10D">
            <w:pPr>
              <w:spacing w:line="300" w:lineRule="exact"/>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近三年内（自遴选通知下发之日起前三年），未受到自然资源和生态环境等部门行政处罚，或受到处罚在履行期限内已执行到位（出具相关证明材料），且未发生过较大及以上安全生产事故、环境事件的。</w:t>
            </w:r>
          </w:p>
        </w:tc>
        <w:tc>
          <w:tcPr>
            <w:tcW w:w="3497" w:type="dxa"/>
            <w:vMerge w:val="continue"/>
            <w:noWrap w:val="0"/>
            <w:tcMar>
              <w:top w:w="12" w:type="dxa"/>
              <w:left w:w="12" w:type="dxa"/>
              <w:right w:w="12" w:type="dxa"/>
            </w:tcMar>
            <w:vAlign w:val="center"/>
          </w:tcPr>
          <w:p w14:paraId="32EAA4E9">
            <w:pPr>
              <w:spacing w:line="300" w:lineRule="exact"/>
              <w:rPr>
                <w:rFonts w:hint="eastAsia" w:ascii="宋体" w:hAnsi="宋体"/>
                <w:b/>
                <w:color w:val="000000"/>
                <w:szCs w:val="40"/>
                <w:lang w:bidi="ar"/>
              </w:rPr>
            </w:pPr>
          </w:p>
        </w:tc>
      </w:tr>
      <w:tr w14:paraId="65A86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6" w:hRule="atLeast"/>
          <w:jc w:val="center"/>
        </w:trPr>
        <w:tc>
          <w:tcPr>
            <w:tcW w:w="2438" w:type="dxa"/>
            <w:noWrap w:val="0"/>
            <w:tcMar>
              <w:top w:w="12" w:type="dxa"/>
              <w:left w:w="12" w:type="dxa"/>
              <w:right w:w="12" w:type="dxa"/>
            </w:tcMar>
            <w:vAlign w:val="center"/>
          </w:tcPr>
          <w:p w14:paraId="5832FA0F">
            <w:pPr>
              <w:spacing w:line="300" w:lineRule="exact"/>
              <w:jc w:val="center"/>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矿业权人异常名录</w:t>
            </w:r>
          </w:p>
        </w:tc>
        <w:tc>
          <w:tcPr>
            <w:tcW w:w="9028" w:type="dxa"/>
            <w:noWrap w:val="0"/>
            <w:tcMar>
              <w:top w:w="12" w:type="dxa"/>
              <w:left w:w="12" w:type="dxa"/>
              <w:right w:w="12" w:type="dxa"/>
            </w:tcMar>
            <w:vAlign w:val="center"/>
          </w:tcPr>
          <w:p w14:paraId="043D9EBA">
            <w:pPr>
              <w:spacing w:line="300" w:lineRule="exact"/>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矿山参加遴选期间，矿业权人未被列入矿业权人勘查开采信息管理系统异常名录或严重失信主体名单。</w:t>
            </w:r>
          </w:p>
        </w:tc>
        <w:tc>
          <w:tcPr>
            <w:tcW w:w="3497" w:type="dxa"/>
            <w:vMerge w:val="continue"/>
            <w:noWrap w:val="0"/>
            <w:tcMar>
              <w:top w:w="12" w:type="dxa"/>
              <w:left w:w="12" w:type="dxa"/>
              <w:right w:w="12" w:type="dxa"/>
            </w:tcMar>
            <w:vAlign w:val="center"/>
          </w:tcPr>
          <w:p w14:paraId="4E43721E">
            <w:pPr>
              <w:spacing w:line="300" w:lineRule="exact"/>
              <w:rPr>
                <w:rFonts w:hint="eastAsia" w:ascii="宋体" w:hAnsi="宋体"/>
                <w:b/>
                <w:color w:val="000000"/>
                <w:szCs w:val="40"/>
                <w:lang w:bidi="ar"/>
              </w:rPr>
            </w:pPr>
          </w:p>
        </w:tc>
      </w:tr>
      <w:tr w14:paraId="23B65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2" w:hRule="atLeast"/>
          <w:jc w:val="center"/>
        </w:trPr>
        <w:tc>
          <w:tcPr>
            <w:tcW w:w="2438" w:type="dxa"/>
            <w:noWrap w:val="0"/>
            <w:tcMar>
              <w:top w:w="12" w:type="dxa"/>
              <w:left w:w="12" w:type="dxa"/>
              <w:right w:w="12" w:type="dxa"/>
            </w:tcMar>
            <w:vAlign w:val="center"/>
          </w:tcPr>
          <w:p w14:paraId="6BE8BBF5">
            <w:pPr>
              <w:spacing w:line="300" w:lineRule="exact"/>
              <w:jc w:val="center"/>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矿山要求</w:t>
            </w:r>
          </w:p>
        </w:tc>
        <w:tc>
          <w:tcPr>
            <w:tcW w:w="9028" w:type="dxa"/>
            <w:noWrap w:val="0"/>
            <w:tcMar>
              <w:top w:w="12" w:type="dxa"/>
              <w:left w:w="12" w:type="dxa"/>
              <w:right w:w="12" w:type="dxa"/>
            </w:tcMar>
            <w:vAlign w:val="center"/>
          </w:tcPr>
          <w:p w14:paraId="23C0AB86">
            <w:pPr>
              <w:spacing w:line="300" w:lineRule="exact"/>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矿山近</w:t>
            </w:r>
            <w:r>
              <w:rPr>
                <w:rFonts w:hint="eastAsia" w:ascii="宋体" w:hAnsi="宋体" w:eastAsia="方正仿宋_GBK" w:cs="方正仿宋_GBK"/>
                <w:kern w:val="0"/>
                <w:sz w:val="24"/>
                <w:shd w:val="clear" w:color="auto" w:fill="FFFFFF"/>
              </w:rPr>
              <w:t>六个月</w:t>
            </w:r>
            <w:r>
              <w:rPr>
                <w:rFonts w:hint="eastAsia" w:ascii="宋体" w:hAnsi="宋体" w:eastAsia="方正仿宋_GBK" w:cs="方正仿宋_GBK"/>
                <w:color w:val="000000"/>
                <w:kern w:val="0"/>
                <w:sz w:val="24"/>
                <w:shd w:val="clear" w:color="auto" w:fill="FFFFFF"/>
              </w:rPr>
              <w:t>内正常生产运营，且剩余储量可采年限（按储量年度报告）不少于三年。</w:t>
            </w:r>
          </w:p>
        </w:tc>
        <w:tc>
          <w:tcPr>
            <w:tcW w:w="3497" w:type="dxa"/>
            <w:vMerge w:val="continue"/>
            <w:noWrap w:val="0"/>
            <w:tcMar>
              <w:top w:w="12" w:type="dxa"/>
              <w:left w:w="12" w:type="dxa"/>
              <w:right w:w="12" w:type="dxa"/>
            </w:tcMar>
            <w:vAlign w:val="center"/>
          </w:tcPr>
          <w:p w14:paraId="67B1B341">
            <w:pPr>
              <w:spacing w:line="300" w:lineRule="exact"/>
              <w:rPr>
                <w:rFonts w:hint="eastAsia" w:ascii="宋体" w:hAnsi="宋体"/>
                <w:b/>
                <w:color w:val="000000"/>
                <w:szCs w:val="40"/>
                <w:lang w:bidi="ar"/>
              </w:rPr>
            </w:pPr>
          </w:p>
        </w:tc>
      </w:tr>
      <w:tr w14:paraId="2646F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0" w:hRule="atLeast"/>
          <w:jc w:val="center"/>
        </w:trPr>
        <w:tc>
          <w:tcPr>
            <w:tcW w:w="2438" w:type="dxa"/>
            <w:noWrap w:val="0"/>
            <w:tcMar>
              <w:top w:w="12" w:type="dxa"/>
              <w:left w:w="12" w:type="dxa"/>
              <w:right w:w="12" w:type="dxa"/>
            </w:tcMar>
            <w:vAlign w:val="center"/>
          </w:tcPr>
          <w:p w14:paraId="2D69EC82">
            <w:pPr>
              <w:spacing w:line="300" w:lineRule="exact"/>
              <w:jc w:val="center"/>
              <w:rPr>
                <w:rFonts w:hint="eastAsia" w:ascii="宋体" w:hAnsi="宋体" w:eastAsia="方正仿宋_GBK" w:cs="方正仿宋_GBK"/>
                <w:color w:val="000000"/>
                <w:kern w:val="0"/>
                <w:sz w:val="24"/>
                <w:shd w:val="clear" w:color="auto" w:fill="FFFFFF"/>
              </w:rPr>
            </w:pPr>
            <w:r>
              <w:rPr>
                <w:rFonts w:hint="eastAsia" w:ascii="宋体" w:hAnsi="宋体" w:eastAsia="方正仿宋_GBK" w:cs="方正仿宋_GBK"/>
                <w:color w:val="000000"/>
                <w:kern w:val="0"/>
                <w:sz w:val="24"/>
                <w:shd w:val="clear" w:color="auto" w:fill="FFFFFF"/>
              </w:rPr>
              <w:t>矿区范围</w:t>
            </w:r>
          </w:p>
        </w:tc>
        <w:tc>
          <w:tcPr>
            <w:tcW w:w="9028" w:type="dxa"/>
            <w:noWrap w:val="0"/>
            <w:tcMar>
              <w:top w:w="12" w:type="dxa"/>
              <w:left w:w="12" w:type="dxa"/>
              <w:right w:w="12" w:type="dxa"/>
            </w:tcMar>
            <w:vAlign w:val="center"/>
          </w:tcPr>
          <w:p w14:paraId="01105FF1">
            <w:pPr>
              <w:spacing w:line="300" w:lineRule="exact"/>
              <w:rPr>
                <w:rFonts w:hint="eastAsia" w:ascii="宋体" w:hAnsi="宋体" w:eastAsia="方正仿宋_GBK" w:cs="方正仿宋_GBK"/>
                <w:kern w:val="0"/>
              </w:rPr>
            </w:pPr>
            <w:r>
              <w:rPr>
                <w:rFonts w:hint="eastAsia" w:ascii="宋体" w:hAnsi="宋体" w:eastAsia="方正仿宋_GBK" w:cs="方正仿宋_GBK"/>
                <w:color w:val="000000"/>
                <w:kern w:val="0"/>
                <w:sz w:val="24"/>
                <w:shd w:val="clear" w:color="auto" w:fill="FFFFFF"/>
              </w:rPr>
              <w:t>矿区范围未涉及生态保护红线（国家有规定的除外），符合国土空间规划及规划环评要求。</w:t>
            </w:r>
          </w:p>
        </w:tc>
        <w:tc>
          <w:tcPr>
            <w:tcW w:w="3497" w:type="dxa"/>
            <w:vMerge w:val="continue"/>
            <w:noWrap w:val="0"/>
            <w:tcMar>
              <w:top w:w="12" w:type="dxa"/>
              <w:left w:w="12" w:type="dxa"/>
              <w:right w:w="12" w:type="dxa"/>
            </w:tcMar>
            <w:vAlign w:val="center"/>
          </w:tcPr>
          <w:p w14:paraId="446CF3E5">
            <w:pPr>
              <w:spacing w:line="300" w:lineRule="exact"/>
              <w:rPr>
                <w:rFonts w:hint="eastAsia" w:ascii="宋体" w:hAnsi="宋体"/>
                <w:b/>
                <w:color w:val="000000"/>
                <w:szCs w:val="40"/>
                <w:lang w:bidi="ar"/>
              </w:rPr>
            </w:pPr>
          </w:p>
        </w:tc>
      </w:tr>
    </w:tbl>
    <w:p w14:paraId="458016B2">
      <w:pPr>
        <w:pStyle w:val="2"/>
        <w:keepNext w:val="0"/>
        <w:keepLines w:val="0"/>
        <w:pageBreakBefore w:val="0"/>
        <w:widowControl w:val="0"/>
        <w:kinsoku/>
        <w:wordWrap/>
        <w:overflowPunct/>
        <w:topLinePunct w:val="0"/>
        <w:autoSpaceDE/>
        <w:autoSpaceDN/>
        <w:bidi w:val="0"/>
        <w:adjustRightInd/>
        <w:snapToGrid/>
        <w:spacing w:after="0" w:line="40" w:lineRule="exact"/>
        <w:ind w:left="0" w:leftChars="0" w:firstLine="0" w:firstLineChars="0"/>
        <w:textAlignment w:val="auto"/>
        <w:rPr>
          <w:rFonts w:hint="eastAsia" w:ascii="宋体" w:hAnsi="宋体"/>
          <w:lang w:val="en-US" w:eastAsia="zh-CN"/>
        </w:rPr>
      </w:pPr>
      <w:r>
        <w:rPr>
          <w:rFonts w:hint="eastAsia" w:ascii="宋体" w:hAnsi="宋体"/>
          <w:lang w:val="en-US" w:eastAsia="zh-CN"/>
        </w:rPr>
        <w:br w:type="page"/>
      </w:r>
    </w:p>
    <w:tbl>
      <w:tblPr>
        <w:tblStyle w:val="6"/>
        <w:tblW w:w="14924" w:type="dxa"/>
        <w:jc w:val="center"/>
        <w:tblLayout w:type="fixed"/>
        <w:tblCellMar>
          <w:top w:w="0" w:type="dxa"/>
          <w:left w:w="108" w:type="dxa"/>
          <w:bottom w:w="0" w:type="dxa"/>
          <w:right w:w="108" w:type="dxa"/>
        </w:tblCellMar>
      </w:tblPr>
      <w:tblGrid>
        <w:gridCol w:w="1188"/>
        <w:gridCol w:w="1185"/>
        <w:gridCol w:w="1245"/>
        <w:gridCol w:w="975"/>
        <w:gridCol w:w="4745"/>
        <w:gridCol w:w="913"/>
        <w:gridCol w:w="2307"/>
        <w:gridCol w:w="919"/>
        <w:gridCol w:w="709"/>
        <w:gridCol w:w="738"/>
      </w:tblGrid>
      <w:tr w14:paraId="2350B37E">
        <w:tblPrEx>
          <w:tblCellMar>
            <w:top w:w="0" w:type="dxa"/>
            <w:left w:w="108" w:type="dxa"/>
            <w:bottom w:w="0" w:type="dxa"/>
            <w:right w:w="108" w:type="dxa"/>
          </w:tblCellMar>
        </w:tblPrEx>
        <w:trPr>
          <w:trHeight w:val="615" w:hRule="atLeast"/>
          <w:tblHeade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75C0A4CD">
            <w:pPr>
              <w:widowControl/>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一级指标</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EC9C8E7">
            <w:pPr>
              <w:widowControl/>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二级指标</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28896249">
            <w:pPr>
              <w:widowControl/>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三级指标</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7272AE55">
            <w:pPr>
              <w:widowControl/>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标准分</w:t>
            </w:r>
          </w:p>
        </w:tc>
        <w:tc>
          <w:tcPr>
            <w:tcW w:w="4745" w:type="dxa"/>
            <w:tcBorders>
              <w:top w:val="single" w:color="auto" w:sz="4" w:space="0"/>
              <w:left w:val="single" w:color="auto" w:sz="4" w:space="0"/>
              <w:bottom w:val="single" w:color="auto" w:sz="4" w:space="0"/>
              <w:right w:val="single" w:color="auto" w:sz="4" w:space="0"/>
            </w:tcBorders>
            <w:noWrap w:val="0"/>
            <w:vAlign w:val="center"/>
          </w:tcPr>
          <w:p w14:paraId="50B64CD4">
            <w:pPr>
              <w:widowControl/>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评分说明</w:t>
            </w:r>
          </w:p>
        </w:tc>
        <w:tc>
          <w:tcPr>
            <w:tcW w:w="913" w:type="dxa"/>
            <w:tcBorders>
              <w:top w:val="single" w:color="auto" w:sz="4" w:space="0"/>
              <w:left w:val="single" w:color="auto" w:sz="4" w:space="0"/>
              <w:bottom w:val="single" w:color="auto" w:sz="4" w:space="0"/>
              <w:right w:val="single" w:color="auto" w:sz="4" w:space="0"/>
            </w:tcBorders>
            <w:noWrap w:val="0"/>
            <w:vAlign w:val="center"/>
          </w:tcPr>
          <w:p w14:paraId="13F377F2">
            <w:pPr>
              <w:widowControl/>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考核方法</w:t>
            </w:r>
          </w:p>
        </w:tc>
        <w:tc>
          <w:tcPr>
            <w:tcW w:w="2307" w:type="dxa"/>
            <w:tcBorders>
              <w:top w:val="single" w:color="auto" w:sz="4" w:space="0"/>
              <w:left w:val="single" w:color="auto" w:sz="4" w:space="0"/>
              <w:bottom w:val="single" w:color="auto" w:sz="4" w:space="0"/>
              <w:right w:val="single" w:color="auto" w:sz="4" w:space="0"/>
            </w:tcBorders>
            <w:noWrap w:val="0"/>
            <w:vAlign w:val="center"/>
          </w:tcPr>
          <w:p w14:paraId="2755EC97">
            <w:pPr>
              <w:widowControl/>
              <w:adjustRightInd w:val="0"/>
              <w:snapToGrid w:val="0"/>
              <w:spacing w:line="240" w:lineRule="atLeast"/>
              <w:jc w:val="left"/>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依据或标准</w:t>
            </w:r>
          </w:p>
        </w:tc>
        <w:tc>
          <w:tcPr>
            <w:tcW w:w="919" w:type="dxa"/>
            <w:tcBorders>
              <w:top w:val="single" w:color="auto" w:sz="4" w:space="0"/>
              <w:left w:val="nil"/>
              <w:bottom w:val="single" w:color="auto" w:sz="4" w:space="0"/>
              <w:right w:val="single" w:color="auto" w:sz="4" w:space="0"/>
            </w:tcBorders>
            <w:noWrap w:val="0"/>
            <w:vAlign w:val="center"/>
          </w:tcPr>
          <w:p w14:paraId="5B3C3FBA">
            <w:pPr>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指标属性</w:t>
            </w:r>
          </w:p>
        </w:tc>
        <w:tc>
          <w:tcPr>
            <w:tcW w:w="709" w:type="dxa"/>
            <w:tcBorders>
              <w:top w:val="single" w:color="auto" w:sz="4" w:space="0"/>
              <w:left w:val="nil"/>
              <w:bottom w:val="single" w:color="auto" w:sz="4" w:space="0"/>
              <w:right w:val="single" w:color="auto" w:sz="4" w:space="0"/>
            </w:tcBorders>
            <w:noWrap w:val="0"/>
            <w:vAlign w:val="center"/>
          </w:tcPr>
          <w:p w14:paraId="389401DC">
            <w:pPr>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检查记录</w:t>
            </w:r>
          </w:p>
        </w:tc>
        <w:tc>
          <w:tcPr>
            <w:tcW w:w="738" w:type="dxa"/>
            <w:tcBorders>
              <w:top w:val="single" w:color="auto" w:sz="4" w:space="0"/>
              <w:left w:val="single" w:color="auto" w:sz="4" w:space="0"/>
              <w:bottom w:val="single" w:color="auto" w:sz="4" w:space="0"/>
              <w:right w:val="single" w:color="auto" w:sz="4" w:space="0"/>
            </w:tcBorders>
            <w:noWrap w:val="0"/>
            <w:vAlign w:val="center"/>
          </w:tcPr>
          <w:p w14:paraId="406294E5">
            <w:pPr>
              <w:widowControl/>
              <w:adjustRightInd w:val="0"/>
              <w:snapToGrid w:val="0"/>
              <w:spacing w:line="240" w:lineRule="atLeast"/>
              <w:jc w:val="center"/>
              <w:rPr>
                <w:rFonts w:hint="eastAsia" w:ascii="宋体" w:hAnsi="宋体" w:eastAsia="方正黑体_GBK" w:cs="宋体"/>
                <w:color w:val="000000"/>
                <w:kern w:val="0"/>
                <w:sz w:val="24"/>
              </w:rPr>
            </w:pPr>
            <w:r>
              <w:rPr>
                <w:rFonts w:hint="eastAsia" w:ascii="宋体" w:hAnsi="宋体" w:eastAsia="方正黑体_GBK" w:cs="宋体"/>
                <w:color w:val="000000"/>
                <w:kern w:val="0"/>
                <w:sz w:val="24"/>
              </w:rPr>
              <w:t>得分</w:t>
            </w:r>
          </w:p>
        </w:tc>
      </w:tr>
      <w:tr w14:paraId="33A7113E">
        <w:tblPrEx>
          <w:tblCellMar>
            <w:top w:w="0" w:type="dxa"/>
            <w:left w:w="108" w:type="dxa"/>
            <w:bottom w:w="0" w:type="dxa"/>
            <w:right w:w="108" w:type="dxa"/>
          </w:tblCellMar>
        </w:tblPrEx>
        <w:trPr>
          <w:trHeight w:val="1350"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31B7B4C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一、矿区环境(7项，12分)</w:t>
            </w:r>
          </w:p>
        </w:tc>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14:paraId="77CCB63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1矿容矿貌（9分）</w:t>
            </w:r>
          </w:p>
        </w:tc>
        <w:tc>
          <w:tcPr>
            <w:tcW w:w="1245" w:type="dxa"/>
            <w:tcBorders>
              <w:top w:val="single" w:color="auto" w:sz="4" w:space="0"/>
              <w:left w:val="nil"/>
              <w:bottom w:val="single" w:color="auto" w:sz="4" w:space="0"/>
              <w:right w:val="single" w:color="auto" w:sz="4" w:space="0"/>
            </w:tcBorders>
            <w:noWrap w:val="0"/>
            <w:vAlign w:val="center"/>
          </w:tcPr>
          <w:p w14:paraId="6084839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1功能分区</w:t>
            </w:r>
          </w:p>
        </w:tc>
        <w:tc>
          <w:tcPr>
            <w:tcW w:w="975" w:type="dxa"/>
            <w:tcBorders>
              <w:top w:val="single" w:color="auto" w:sz="4" w:space="0"/>
              <w:left w:val="nil"/>
              <w:bottom w:val="single" w:color="auto" w:sz="4" w:space="0"/>
              <w:right w:val="single" w:color="auto" w:sz="4" w:space="0"/>
            </w:tcBorders>
            <w:noWrap w:val="0"/>
            <w:vAlign w:val="center"/>
          </w:tcPr>
          <w:p w14:paraId="630F0E4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single" w:color="auto" w:sz="4" w:space="0"/>
              <w:left w:val="nil"/>
              <w:bottom w:val="single" w:color="auto" w:sz="4" w:space="0"/>
              <w:right w:val="single" w:color="auto" w:sz="4" w:space="0"/>
            </w:tcBorders>
            <w:noWrap w:val="0"/>
            <w:vAlign w:val="center"/>
          </w:tcPr>
          <w:p w14:paraId="6FF5D0F4">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矿区按生产区、管理区、生活区进行功能分区，符合分区要求。符合要求得2分，管理区、生活区分区不明显扣0.5分，生产区、管理区分区不明显扣1.5分。</w:t>
            </w:r>
          </w:p>
        </w:tc>
        <w:tc>
          <w:tcPr>
            <w:tcW w:w="913" w:type="dxa"/>
            <w:tcBorders>
              <w:top w:val="single" w:color="auto" w:sz="4" w:space="0"/>
              <w:left w:val="nil"/>
              <w:bottom w:val="single" w:color="auto" w:sz="4" w:space="0"/>
              <w:right w:val="single" w:color="auto" w:sz="4" w:space="0"/>
            </w:tcBorders>
            <w:noWrap w:val="0"/>
            <w:vAlign w:val="center"/>
          </w:tcPr>
          <w:p w14:paraId="3DE87F4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single" w:color="auto" w:sz="4" w:space="0"/>
              <w:left w:val="nil"/>
              <w:bottom w:val="single" w:color="auto" w:sz="4" w:space="0"/>
              <w:right w:val="single" w:color="auto" w:sz="4" w:space="0"/>
            </w:tcBorders>
            <w:noWrap w:val="0"/>
            <w:vAlign w:val="center"/>
          </w:tcPr>
          <w:p w14:paraId="27FA994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矿区总平面布置图或示意图，《工业企业总平面设计规范》（GB 50187）</w:t>
            </w:r>
          </w:p>
        </w:tc>
        <w:tc>
          <w:tcPr>
            <w:tcW w:w="919" w:type="dxa"/>
            <w:tcBorders>
              <w:top w:val="single" w:color="auto" w:sz="4" w:space="0"/>
              <w:left w:val="nil"/>
              <w:bottom w:val="single" w:color="auto" w:sz="4" w:space="0"/>
              <w:right w:val="single" w:color="auto" w:sz="4" w:space="0"/>
            </w:tcBorders>
            <w:noWrap w:val="0"/>
            <w:vAlign w:val="center"/>
          </w:tcPr>
          <w:p w14:paraId="0FE833A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single" w:color="auto" w:sz="4" w:space="0"/>
              <w:left w:val="nil"/>
              <w:bottom w:val="single" w:color="auto" w:sz="4" w:space="0"/>
              <w:right w:val="single" w:color="auto" w:sz="4" w:space="0"/>
            </w:tcBorders>
            <w:noWrap w:val="0"/>
            <w:vAlign w:val="center"/>
          </w:tcPr>
          <w:p w14:paraId="5DFA722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single" w:color="auto" w:sz="4" w:space="0"/>
              <w:left w:val="nil"/>
              <w:bottom w:val="single" w:color="auto" w:sz="4" w:space="0"/>
              <w:right w:val="single" w:color="auto" w:sz="4" w:space="0"/>
            </w:tcBorders>
            <w:noWrap w:val="0"/>
            <w:vAlign w:val="center"/>
          </w:tcPr>
          <w:p w14:paraId="7999B28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3242A39">
        <w:tblPrEx>
          <w:tblCellMar>
            <w:top w:w="0" w:type="dxa"/>
            <w:left w:w="108" w:type="dxa"/>
            <w:bottom w:w="0" w:type="dxa"/>
            <w:right w:w="108" w:type="dxa"/>
          </w:tblCellMar>
        </w:tblPrEx>
        <w:trPr>
          <w:trHeight w:val="1648" w:hRule="atLeast"/>
          <w:jc w:val="center"/>
        </w:trPr>
        <w:tc>
          <w:tcPr>
            <w:tcW w:w="1188" w:type="dxa"/>
            <w:vMerge w:val="continue"/>
            <w:tcBorders>
              <w:top w:val="nil"/>
              <w:left w:val="single" w:color="auto" w:sz="4" w:space="0"/>
              <w:bottom w:val="single" w:color="auto" w:sz="4" w:space="0"/>
              <w:right w:val="single" w:color="auto" w:sz="4" w:space="0"/>
            </w:tcBorders>
            <w:noWrap w:val="0"/>
            <w:vAlign w:val="center"/>
          </w:tcPr>
          <w:p w14:paraId="53BE55A9">
            <w:pPr>
              <w:widowControl/>
              <w:adjustRightInd w:val="0"/>
              <w:snapToGrid w:val="0"/>
              <w:spacing w:line="240" w:lineRule="atLeast"/>
              <w:jc w:val="left"/>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300EFC01">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10964CE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2配套设施</w:t>
            </w:r>
          </w:p>
        </w:tc>
        <w:tc>
          <w:tcPr>
            <w:tcW w:w="975" w:type="dxa"/>
            <w:tcBorders>
              <w:top w:val="nil"/>
              <w:left w:val="nil"/>
              <w:bottom w:val="single" w:color="auto" w:sz="4" w:space="0"/>
              <w:right w:val="single" w:color="auto" w:sz="4" w:space="0"/>
            </w:tcBorders>
            <w:noWrap w:val="0"/>
            <w:vAlign w:val="center"/>
          </w:tcPr>
          <w:p w14:paraId="285EBA1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78415656">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地面运输、供水、供电等配套设施齐全、正常运行，食堂、澡堂、厕所等设施齐全、整洁规范，对矿区建筑、构筑物及时维护、维修或粉刷，生产区、管理区、生活区的所有场所不存在私搭乱建等临时建筑、废弃建构筑物。符合要求得2分，发现一处不符合扣0.5分。</w:t>
            </w:r>
          </w:p>
        </w:tc>
        <w:tc>
          <w:tcPr>
            <w:tcW w:w="913" w:type="dxa"/>
            <w:tcBorders>
              <w:top w:val="nil"/>
              <w:left w:val="nil"/>
              <w:bottom w:val="single" w:color="auto" w:sz="4" w:space="0"/>
              <w:right w:val="single" w:color="auto" w:sz="4" w:space="0"/>
            </w:tcBorders>
            <w:noWrap w:val="0"/>
            <w:vAlign w:val="center"/>
          </w:tcPr>
          <w:p w14:paraId="2B4398F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3DAC6967">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矿区总平面布置图</w:t>
            </w:r>
          </w:p>
        </w:tc>
        <w:tc>
          <w:tcPr>
            <w:tcW w:w="919" w:type="dxa"/>
            <w:tcBorders>
              <w:top w:val="nil"/>
              <w:left w:val="nil"/>
              <w:bottom w:val="single" w:color="auto" w:sz="4" w:space="0"/>
              <w:right w:val="single" w:color="auto" w:sz="4" w:space="0"/>
            </w:tcBorders>
            <w:noWrap w:val="0"/>
            <w:vAlign w:val="center"/>
          </w:tcPr>
          <w:p w14:paraId="1B5A84B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7229E28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1FBC4A6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B60BFE3">
        <w:tblPrEx>
          <w:tblCellMar>
            <w:top w:w="0" w:type="dxa"/>
            <w:left w:w="108" w:type="dxa"/>
            <w:bottom w:w="0" w:type="dxa"/>
            <w:right w:w="108" w:type="dxa"/>
          </w:tblCellMar>
        </w:tblPrEx>
        <w:trPr>
          <w:trHeight w:val="1080" w:hRule="atLeast"/>
          <w:jc w:val="center"/>
        </w:trPr>
        <w:tc>
          <w:tcPr>
            <w:tcW w:w="1188" w:type="dxa"/>
            <w:vMerge w:val="continue"/>
            <w:tcBorders>
              <w:top w:val="nil"/>
              <w:left w:val="single" w:color="auto" w:sz="4" w:space="0"/>
              <w:bottom w:val="single" w:color="auto" w:sz="4" w:space="0"/>
              <w:right w:val="single" w:color="auto" w:sz="4" w:space="0"/>
            </w:tcBorders>
            <w:noWrap w:val="0"/>
            <w:vAlign w:val="center"/>
          </w:tcPr>
          <w:p w14:paraId="68FA5D0B">
            <w:pPr>
              <w:widowControl/>
              <w:adjustRightInd w:val="0"/>
              <w:snapToGrid w:val="0"/>
              <w:spacing w:line="240" w:lineRule="atLeast"/>
              <w:jc w:val="left"/>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77164D4E">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4B37329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3标识标牌</w:t>
            </w:r>
          </w:p>
        </w:tc>
        <w:tc>
          <w:tcPr>
            <w:tcW w:w="975" w:type="dxa"/>
            <w:tcBorders>
              <w:top w:val="nil"/>
              <w:left w:val="nil"/>
              <w:bottom w:val="single" w:color="auto" w:sz="4" w:space="0"/>
              <w:right w:val="single" w:color="auto" w:sz="4" w:space="0"/>
            </w:tcBorders>
            <w:noWrap w:val="0"/>
            <w:vAlign w:val="center"/>
          </w:tcPr>
          <w:p w14:paraId="6721E26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2EBF631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矿区按要求设置采矿权标识牌、界桩、操作提示牌、说明牌、线路示意图牌等各类标牌，标牌的尺寸、形状、颜色设置符合规定。符合要求得1分，发现一处不符合扣0.2分。</w:t>
            </w:r>
          </w:p>
        </w:tc>
        <w:tc>
          <w:tcPr>
            <w:tcW w:w="913" w:type="dxa"/>
            <w:tcBorders>
              <w:top w:val="nil"/>
              <w:left w:val="nil"/>
              <w:bottom w:val="single" w:color="auto" w:sz="4" w:space="0"/>
              <w:right w:val="single" w:color="auto" w:sz="4" w:space="0"/>
            </w:tcBorders>
            <w:noWrap w:val="0"/>
            <w:vAlign w:val="center"/>
          </w:tcPr>
          <w:p w14:paraId="0AAD7CB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查现场</w:t>
            </w:r>
          </w:p>
        </w:tc>
        <w:tc>
          <w:tcPr>
            <w:tcW w:w="2307" w:type="dxa"/>
            <w:tcBorders>
              <w:top w:val="nil"/>
              <w:left w:val="nil"/>
              <w:bottom w:val="single" w:color="auto" w:sz="4" w:space="0"/>
              <w:right w:val="single" w:color="auto" w:sz="4" w:space="0"/>
            </w:tcBorders>
            <w:noWrap w:val="0"/>
            <w:vAlign w:val="center"/>
          </w:tcPr>
          <w:p w14:paraId="1FB17658">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《标牌》（GB/T 13306），《矿山安全标志》（GB 14161）</w:t>
            </w:r>
          </w:p>
        </w:tc>
        <w:tc>
          <w:tcPr>
            <w:tcW w:w="919" w:type="dxa"/>
            <w:tcBorders>
              <w:top w:val="nil"/>
              <w:left w:val="nil"/>
              <w:bottom w:val="single" w:color="auto" w:sz="4" w:space="0"/>
              <w:right w:val="single" w:color="auto" w:sz="4" w:space="0"/>
            </w:tcBorders>
            <w:noWrap w:val="0"/>
            <w:vAlign w:val="center"/>
          </w:tcPr>
          <w:p w14:paraId="483528C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50B3722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C30662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DECDC6C">
        <w:tblPrEx>
          <w:tblCellMar>
            <w:top w:w="0" w:type="dxa"/>
            <w:left w:w="108" w:type="dxa"/>
            <w:bottom w:w="0" w:type="dxa"/>
            <w:right w:w="108" w:type="dxa"/>
          </w:tblCellMar>
        </w:tblPrEx>
        <w:trPr>
          <w:trHeight w:val="879" w:hRule="atLeast"/>
          <w:jc w:val="center"/>
        </w:trPr>
        <w:tc>
          <w:tcPr>
            <w:tcW w:w="1188" w:type="dxa"/>
            <w:vMerge w:val="continue"/>
            <w:tcBorders>
              <w:top w:val="nil"/>
              <w:left w:val="single" w:color="auto" w:sz="4" w:space="0"/>
              <w:bottom w:val="single" w:color="auto" w:sz="4" w:space="0"/>
              <w:right w:val="single" w:color="auto" w:sz="4" w:space="0"/>
            </w:tcBorders>
            <w:noWrap w:val="0"/>
            <w:vAlign w:val="center"/>
          </w:tcPr>
          <w:p w14:paraId="771EAFC9">
            <w:pPr>
              <w:widowControl/>
              <w:adjustRightInd w:val="0"/>
              <w:snapToGrid w:val="0"/>
              <w:spacing w:line="240" w:lineRule="atLeast"/>
              <w:jc w:val="left"/>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4FAEC879">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51FC478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4定置管理</w:t>
            </w:r>
          </w:p>
        </w:tc>
        <w:tc>
          <w:tcPr>
            <w:tcW w:w="975" w:type="dxa"/>
            <w:tcBorders>
              <w:top w:val="nil"/>
              <w:left w:val="nil"/>
              <w:bottom w:val="single" w:color="auto" w:sz="4" w:space="0"/>
              <w:right w:val="single" w:color="auto" w:sz="4" w:space="0"/>
            </w:tcBorders>
            <w:noWrap w:val="0"/>
            <w:vAlign w:val="center"/>
          </w:tcPr>
          <w:p w14:paraId="31F4E8F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7B523B76">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设备、物资材料规范管理，做到分类分区、摆放有序、堆码整齐。符合要求得2分，发现一处不符合扣0.5分。</w:t>
            </w:r>
          </w:p>
        </w:tc>
        <w:tc>
          <w:tcPr>
            <w:tcW w:w="913" w:type="dxa"/>
            <w:tcBorders>
              <w:top w:val="nil"/>
              <w:left w:val="nil"/>
              <w:bottom w:val="single" w:color="auto" w:sz="4" w:space="0"/>
              <w:right w:val="single" w:color="auto" w:sz="4" w:space="0"/>
            </w:tcBorders>
            <w:noWrap w:val="0"/>
            <w:vAlign w:val="center"/>
          </w:tcPr>
          <w:p w14:paraId="5DFDE3B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查现场</w:t>
            </w:r>
          </w:p>
        </w:tc>
        <w:tc>
          <w:tcPr>
            <w:tcW w:w="2307" w:type="dxa"/>
            <w:tcBorders>
              <w:top w:val="nil"/>
              <w:left w:val="nil"/>
              <w:bottom w:val="single" w:color="auto" w:sz="4" w:space="0"/>
              <w:right w:val="single" w:color="auto" w:sz="4" w:space="0"/>
            </w:tcBorders>
            <w:noWrap w:val="0"/>
            <w:vAlign w:val="center"/>
          </w:tcPr>
          <w:p w14:paraId="5BF697EA">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　</w:t>
            </w:r>
          </w:p>
        </w:tc>
        <w:tc>
          <w:tcPr>
            <w:tcW w:w="919" w:type="dxa"/>
            <w:tcBorders>
              <w:top w:val="nil"/>
              <w:left w:val="nil"/>
              <w:bottom w:val="single" w:color="auto" w:sz="4" w:space="0"/>
              <w:right w:val="single" w:color="auto" w:sz="4" w:space="0"/>
            </w:tcBorders>
            <w:noWrap w:val="0"/>
            <w:vAlign w:val="center"/>
          </w:tcPr>
          <w:p w14:paraId="14C5303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31249F9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5224A7E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05F1CF56">
        <w:tblPrEx>
          <w:tblCellMar>
            <w:top w:w="0" w:type="dxa"/>
            <w:left w:w="108" w:type="dxa"/>
            <w:bottom w:w="0" w:type="dxa"/>
            <w:right w:w="108" w:type="dxa"/>
          </w:tblCellMar>
        </w:tblPrEx>
        <w:trPr>
          <w:trHeight w:val="1350" w:hRule="atLeast"/>
          <w:jc w:val="center"/>
        </w:trPr>
        <w:tc>
          <w:tcPr>
            <w:tcW w:w="1188" w:type="dxa"/>
            <w:vMerge w:val="continue"/>
            <w:tcBorders>
              <w:top w:val="nil"/>
              <w:left w:val="single" w:color="auto" w:sz="4" w:space="0"/>
              <w:bottom w:val="single" w:color="auto" w:sz="4" w:space="0"/>
              <w:right w:val="single" w:color="auto" w:sz="4" w:space="0"/>
            </w:tcBorders>
            <w:noWrap w:val="0"/>
            <w:vAlign w:val="center"/>
          </w:tcPr>
          <w:p w14:paraId="3E27C67E">
            <w:pPr>
              <w:widowControl/>
              <w:adjustRightInd w:val="0"/>
              <w:snapToGrid w:val="0"/>
              <w:spacing w:line="240" w:lineRule="atLeast"/>
              <w:jc w:val="left"/>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7620D468">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5FB2DE3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5清洁卫生</w:t>
            </w:r>
          </w:p>
        </w:tc>
        <w:tc>
          <w:tcPr>
            <w:tcW w:w="975" w:type="dxa"/>
            <w:tcBorders>
              <w:top w:val="nil"/>
              <w:left w:val="nil"/>
              <w:bottom w:val="single" w:color="auto" w:sz="4" w:space="0"/>
              <w:right w:val="single" w:color="auto" w:sz="4" w:space="0"/>
            </w:tcBorders>
            <w:noWrap w:val="0"/>
            <w:vAlign w:val="center"/>
          </w:tcPr>
          <w:p w14:paraId="5687E85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5CD18BB1">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保持清洁卫生，主干道路表面平整、密实和粗糙度适当，内部道路或专用道路及时清理无洒落物，生产区及管理区无垃圾、无废石乱扔乱放，生产现场管线无跑、冒、滴、漏现象。符合要求得2分，发现一处不符合扣0.5分。</w:t>
            </w:r>
          </w:p>
        </w:tc>
        <w:tc>
          <w:tcPr>
            <w:tcW w:w="913" w:type="dxa"/>
            <w:tcBorders>
              <w:top w:val="nil"/>
              <w:left w:val="nil"/>
              <w:bottom w:val="single" w:color="auto" w:sz="4" w:space="0"/>
              <w:right w:val="single" w:color="auto" w:sz="4" w:space="0"/>
            </w:tcBorders>
            <w:noWrap w:val="0"/>
            <w:vAlign w:val="center"/>
          </w:tcPr>
          <w:p w14:paraId="54B7BBA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查现场</w:t>
            </w:r>
          </w:p>
        </w:tc>
        <w:tc>
          <w:tcPr>
            <w:tcW w:w="2307" w:type="dxa"/>
            <w:tcBorders>
              <w:top w:val="nil"/>
              <w:left w:val="nil"/>
              <w:bottom w:val="single" w:color="auto" w:sz="4" w:space="0"/>
              <w:right w:val="single" w:color="auto" w:sz="4" w:space="0"/>
            </w:tcBorders>
            <w:noWrap w:val="0"/>
            <w:vAlign w:val="center"/>
          </w:tcPr>
          <w:p w14:paraId="691E605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《厂矿道路设计规范》（GBJ 22）</w:t>
            </w:r>
          </w:p>
        </w:tc>
        <w:tc>
          <w:tcPr>
            <w:tcW w:w="919" w:type="dxa"/>
            <w:tcBorders>
              <w:top w:val="nil"/>
              <w:left w:val="nil"/>
              <w:bottom w:val="single" w:color="auto" w:sz="4" w:space="0"/>
              <w:right w:val="single" w:color="auto" w:sz="4" w:space="0"/>
            </w:tcBorders>
            <w:noWrap w:val="0"/>
            <w:vAlign w:val="center"/>
          </w:tcPr>
          <w:p w14:paraId="2EB6F2F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103F75B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4A96A4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1904F30">
        <w:tblPrEx>
          <w:tblCellMar>
            <w:top w:w="0" w:type="dxa"/>
            <w:left w:w="108" w:type="dxa"/>
            <w:bottom w:w="0" w:type="dxa"/>
            <w:right w:w="108" w:type="dxa"/>
          </w:tblCellMar>
        </w:tblPrEx>
        <w:trPr>
          <w:trHeight w:val="580" w:hRule="atLeast"/>
          <w:jc w:val="center"/>
        </w:trPr>
        <w:tc>
          <w:tcPr>
            <w:tcW w:w="1188" w:type="dxa"/>
            <w:vMerge w:val="continue"/>
            <w:tcBorders>
              <w:top w:val="nil"/>
              <w:left w:val="single" w:color="auto" w:sz="4" w:space="0"/>
              <w:bottom w:val="single" w:color="auto" w:sz="4" w:space="0"/>
              <w:right w:val="single" w:color="auto" w:sz="4" w:space="0"/>
            </w:tcBorders>
            <w:noWrap w:val="0"/>
            <w:vAlign w:val="center"/>
          </w:tcPr>
          <w:p w14:paraId="2F59DABC">
            <w:pPr>
              <w:widowControl/>
              <w:adjustRightInd w:val="0"/>
              <w:snapToGrid w:val="0"/>
              <w:spacing w:line="240" w:lineRule="atLeast"/>
              <w:jc w:val="left"/>
              <w:rPr>
                <w:rFonts w:hint="eastAsia" w:ascii="宋体" w:hAnsi="宋体" w:cs="宋体"/>
                <w:color w:val="000000"/>
                <w:kern w:val="0"/>
                <w:szCs w:val="21"/>
              </w:rPr>
            </w:pPr>
          </w:p>
        </w:tc>
        <w:tc>
          <w:tcPr>
            <w:tcW w:w="1185" w:type="dxa"/>
            <w:vMerge w:val="restart"/>
            <w:tcBorders>
              <w:top w:val="nil"/>
              <w:left w:val="single" w:color="auto" w:sz="4" w:space="0"/>
              <w:bottom w:val="single" w:color="auto" w:sz="4" w:space="0"/>
              <w:right w:val="single" w:color="auto" w:sz="4" w:space="0"/>
            </w:tcBorders>
            <w:noWrap w:val="0"/>
            <w:vAlign w:val="center"/>
          </w:tcPr>
          <w:p w14:paraId="3E5A7BE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2矿区绿化美化（3分）</w:t>
            </w:r>
          </w:p>
        </w:tc>
        <w:tc>
          <w:tcPr>
            <w:tcW w:w="1245" w:type="dxa"/>
            <w:tcBorders>
              <w:top w:val="nil"/>
              <w:left w:val="nil"/>
              <w:bottom w:val="single" w:color="auto" w:sz="4" w:space="0"/>
              <w:right w:val="single" w:color="auto" w:sz="4" w:space="0"/>
            </w:tcBorders>
            <w:noWrap w:val="0"/>
            <w:vAlign w:val="center"/>
          </w:tcPr>
          <w:p w14:paraId="67C8B89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6矿区绿化</w:t>
            </w:r>
          </w:p>
        </w:tc>
        <w:tc>
          <w:tcPr>
            <w:tcW w:w="975" w:type="dxa"/>
            <w:tcBorders>
              <w:top w:val="nil"/>
              <w:left w:val="nil"/>
              <w:bottom w:val="single" w:color="auto" w:sz="4" w:space="0"/>
              <w:right w:val="single" w:color="auto" w:sz="4" w:space="0"/>
            </w:tcBorders>
            <w:noWrap w:val="0"/>
            <w:vAlign w:val="center"/>
          </w:tcPr>
          <w:p w14:paraId="4E4D8BB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1C5F276D">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矿区可绿化区域实现全覆盖，且无大面积表土裸露。符合要求得2分，发现一处不符合扣0.5分。</w:t>
            </w:r>
          </w:p>
        </w:tc>
        <w:tc>
          <w:tcPr>
            <w:tcW w:w="913" w:type="dxa"/>
            <w:tcBorders>
              <w:top w:val="nil"/>
              <w:left w:val="nil"/>
              <w:bottom w:val="single" w:color="auto" w:sz="4" w:space="0"/>
              <w:right w:val="single" w:color="auto" w:sz="4" w:space="0"/>
            </w:tcBorders>
            <w:noWrap w:val="0"/>
            <w:vAlign w:val="center"/>
          </w:tcPr>
          <w:p w14:paraId="62BD1EE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查现场</w:t>
            </w:r>
          </w:p>
        </w:tc>
        <w:tc>
          <w:tcPr>
            <w:tcW w:w="2307" w:type="dxa"/>
            <w:tcBorders>
              <w:top w:val="nil"/>
              <w:left w:val="nil"/>
              <w:bottom w:val="single" w:color="auto" w:sz="4" w:space="0"/>
              <w:right w:val="single" w:color="auto" w:sz="4" w:space="0"/>
            </w:tcBorders>
            <w:noWrap w:val="0"/>
            <w:vAlign w:val="center"/>
          </w:tcPr>
          <w:p w14:paraId="7CD8A8BC">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可绿化区域是指除采场、建筑覆盖区、硬化地面等不宜进行绿化区域以外的区域</w:t>
            </w:r>
          </w:p>
        </w:tc>
        <w:tc>
          <w:tcPr>
            <w:tcW w:w="919" w:type="dxa"/>
            <w:tcBorders>
              <w:top w:val="nil"/>
              <w:left w:val="nil"/>
              <w:bottom w:val="single" w:color="auto" w:sz="4" w:space="0"/>
              <w:right w:val="single" w:color="auto" w:sz="4" w:space="0"/>
            </w:tcBorders>
            <w:noWrap w:val="0"/>
            <w:vAlign w:val="center"/>
          </w:tcPr>
          <w:p w14:paraId="2083895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14C1976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2A77BAA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1E15C6B">
        <w:tblPrEx>
          <w:tblCellMar>
            <w:top w:w="0" w:type="dxa"/>
            <w:left w:w="108" w:type="dxa"/>
            <w:bottom w:w="0" w:type="dxa"/>
            <w:right w:w="108" w:type="dxa"/>
          </w:tblCellMar>
        </w:tblPrEx>
        <w:trPr>
          <w:trHeight w:val="3611" w:hRule="atLeast"/>
          <w:jc w:val="center"/>
        </w:trPr>
        <w:tc>
          <w:tcPr>
            <w:tcW w:w="1188" w:type="dxa"/>
            <w:vMerge w:val="continue"/>
            <w:tcBorders>
              <w:top w:val="nil"/>
              <w:left w:val="single" w:color="auto" w:sz="4" w:space="0"/>
              <w:bottom w:val="single" w:color="auto" w:sz="4" w:space="0"/>
              <w:right w:val="single" w:color="auto" w:sz="4" w:space="0"/>
            </w:tcBorders>
            <w:noWrap w:val="0"/>
            <w:vAlign w:val="center"/>
          </w:tcPr>
          <w:p w14:paraId="2D048780">
            <w:pPr>
              <w:widowControl/>
              <w:adjustRightInd w:val="0"/>
              <w:snapToGrid w:val="0"/>
              <w:spacing w:line="240" w:lineRule="atLeast"/>
              <w:jc w:val="left"/>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4705F77E">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260FCE3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7绿化效果</w:t>
            </w:r>
          </w:p>
        </w:tc>
        <w:tc>
          <w:tcPr>
            <w:tcW w:w="975" w:type="dxa"/>
            <w:tcBorders>
              <w:top w:val="nil"/>
              <w:left w:val="nil"/>
              <w:bottom w:val="single" w:color="auto" w:sz="4" w:space="0"/>
              <w:right w:val="single" w:color="auto" w:sz="4" w:space="0"/>
            </w:tcBorders>
            <w:noWrap w:val="0"/>
            <w:vAlign w:val="center"/>
          </w:tcPr>
          <w:p w14:paraId="52B629C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57C7B19D">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绿化植物以本土物种为主，宜林则林、宜草则草，搭配合理，与周边环境协调一致，符合当地气候条件。绿化植物无严重枯枝黄叶、缺苗死苗。符合要求得1分，发现一处不符合扣0.5分。</w:t>
            </w:r>
          </w:p>
        </w:tc>
        <w:tc>
          <w:tcPr>
            <w:tcW w:w="913" w:type="dxa"/>
            <w:tcBorders>
              <w:top w:val="nil"/>
              <w:left w:val="nil"/>
              <w:bottom w:val="single" w:color="auto" w:sz="4" w:space="0"/>
              <w:right w:val="single" w:color="auto" w:sz="4" w:space="0"/>
            </w:tcBorders>
            <w:noWrap w:val="0"/>
            <w:vAlign w:val="center"/>
          </w:tcPr>
          <w:p w14:paraId="65A9659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2FF5481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　</w:t>
            </w:r>
          </w:p>
        </w:tc>
        <w:tc>
          <w:tcPr>
            <w:tcW w:w="919" w:type="dxa"/>
            <w:tcBorders>
              <w:top w:val="nil"/>
              <w:left w:val="nil"/>
              <w:bottom w:val="single" w:color="auto" w:sz="4" w:space="0"/>
              <w:right w:val="single" w:color="auto" w:sz="4" w:space="0"/>
            </w:tcBorders>
            <w:noWrap w:val="0"/>
            <w:vAlign w:val="center"/>
          </w:tcPr>
          <w:p w14:paraId="1C937A8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321B081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090D2E0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3B6E4DE2">
        <w:tblPrEx>
          <w:tblCellMar>
            <w:top w:w="0" w:type="dxa"/>
            <w:left w:w="108" w:type="dxa"/>
            <w:bottom w:w="0" w:type="dxa"/>
            <w:right w:w="108" w:type="dxa"/>
          </w:tblCellMar>
        </w:tblPrEx>
        <w:trPr>
          <w:trHeight w:val="4386"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3D18EC7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二、资源开采（4项，20分）</w:t>
            </w:r>
          </w:p>
          <w:p w14:paraId="6054AAC8">
            <w:pPr>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14:paraId="7255A1D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1开采活动（15分）</w:t>
            </w:r>
          </w:p>
        </w:tc>
        <w:tc>
          <w:tcPr>
            <w:tcW w:w="1245" w:type="dxa"/>
            <w:tcBorders>
              <w:top w:val="single" w:color="auto" w:sz="4" w:space="0"/>
              <w:left w:val="nil"/>
              <w:bottom w:val="single" w:color="auto" w:sz="4" w:space="0"/>
              <w:right w:val="single" w:color="auto" w:sz="4" w:space="0"/>
            </w:tcBorders>
            <w:noWrap w:val="0"/>
            <w:vAlign w:val="center"/>
          </w:tcPr>
          <w:p w14:paraId="523D4DE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8开采方式</w:t>
            </w:r>
          </w:p>
        </w:tc>
        <w:tc>
          <w:tcPr>
            <w:tcW w:w="975" w:type="dxa"/>
            <w:tcBorders>
              <w:top w:val="nil"/>
              <w:left w:val="nil"/>
              <w:bottom w:val="single" w:color="auto" w:sz="4" w:space="0"/>
              <w:right w:val="single" w:color="auto" w:sz="4" w:space="0"/>
            </w:tcBorders>
            <w:noWrap w:val="0"/>
            <w:vAlign w:val="center"/>
          </w:tcPr>
          <w:p w14:paraId="6A3365A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w:t>
            </w:r>
          </w:p>
        </w:tc>
        <w:tc>
          <w:tcPr>
            <w:tcW w:w="4745" w:type="dxa"/>
            <w:tcBorders>
              <w:top w:val="nil"/>
              <w:left w:val="nil"/>
              <w:bottom w:val="single" w:color="auto" w:sz="4" w:space="0"/>
              <w:right w:val="single" w:color="auto" w:sz="4" w:space="0"/>
            </w:tcBorders>
            <w:noWrap w:val="0"/>
            <w:vAlign w:val="center"/>
          </w:tcPr>
          <w:p w14:paraId="683A212E">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★露天开采：</w:t>
            </w:r>
          </w:p>
          <w:p w14:paraId="6D197E5E">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露天开采采用自上而下分台阶开采，符合开采设计要求。坚持采剥并举、剥离先行的原则，优化开采布局，选择合理工艺，科学制定采排计划，尽量减少对地表的破坏。</w:t>
            </w:r>
          </w:p>
          <w:p w14:paraId="2B4AD482">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★地下开采：</w:t>
            </w:r>
          </w:p>
          <w:p w14:paraId="3E7DB38D">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地下开采方法和顺序合理，符合开采设计要求，开采技术符合生态环境保护要求。符合要求得5分，不符合得0分。</w:t>
            </w:r>
          </w:p>
        </w:tc>
        <w:tc>
          <w:tcPr>
            <w:tcW w:w="913" w:type="dxa"/>
            <w:tcBorders>
              <w:top w:val="nil"/>
              <w:left w:val="nil"/>
              <w:bottom w:val="single" w:color="auto" w:sz="4" w:space="0"/>
              <w:right w:val="single" w:color="auto" w:sz="4" w:space="0"/>
            </w:tcBorders>
            <w:noWrap w:val="0"/>
            <w:vAlign w:val="center"/>
          </w:tcPr>
          <w:p w14:paraId="09B1E3D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6F6744BA">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开采设计</w:t>
            </w:r>
          </w:p>
        </w:tc>
        <w:tc>
          <w:tcPr>
            <w:tcW w:w="919" w:type="dxa"/>
            <w:tcBorders>
              <w:top w:val="nil"/>
              <w:left w:val="nil"/>
              <w:bottom w:val="single" w:color="auto" w:sz="4" w:space="0"/>
              <w:right w:val="single" w:color="auto" w:sz="4" w:space="0"/>
            </w:tcBorders>
            <w:noWrap w:val="0"/>
            <w:vAlign w:val="center"/>
          </w:tcPr>
          <w:p w14:paraId="7AC5071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351A02B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35520A3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7E664A6">
        <w:tblPrEx>
          <w:tblCellMar>
            <w:top w:w="0" w:type="dxa"/>
            <w:left w:w="108" w:type="dxa"/>
            <w:bottom w:w="0" w:type="dxa"/>
            <w:right w:w="108" w:type="dxa"/>
          </w:tblCellMar>
        </w:tblPrEx>
        <w:trPr>
          <w:trHeight w:val="8028"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00BDC822">
            <w:pPr>
              <w:widowControl/>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14:paraId="06F60C5D">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single" w:color="auto" w:sz="4" w:space="0"/>
              <w:left w:val="nil"/>
              <w:bottom w:val="single" w:color="auto" w:sz="4" w:space="0"/>
              <w:right w:val="single" w:color="auto" w:sz="4" w:space="0"/>
            </w:tcBorders>
            <w:noWrap w:val="0"/>
            <w:vAlign w:val="center"/>
          </w:tcPr>
          <w:p w14:paraId="5A12D70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9开采技术</w:t>
            </w:r>
          </w:p>
        </w:tc>
        <w:tc>
          <w:tcPr>
            <w:tcW w:w="975" w:type="dxa"/>
            <w:tcBorders>
              <w:top w:val="nil"/>
              <w:left w:val="nil"/>
              <w:bottom w:val="single" w:color="auto" w:sz="4" w:space="0"/>
              <w:right w:val="single" w:color="auto" w:sz="4" w:space="0"/>
            </w:tcBorders>
            <w:noWrap w:val="0"/>
            <w:vAlign w:val="center"/>
          </w:tcPr>
          <w:p w14:paraId="195DE9E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8</w:t>
            </w:r>
          </w:p>
        </w:tc>
        <w:tc>
          <w:tcPr>
            <w:tcW w:w="4745" w:type="dxa"/>
            <w:tcBorders>
              <w:top w:val="nil"/>
              <w:left w:val="nil"/>
              <w:bottom w:val="single" w:color="auto" w:sz="4" w:space="0"/>
              <w:right w:val="single" w:color="auto" w:sz="4" w:space="0"/>
            </w:tcBorders>
            <w:noWrap w:val="0"/>
            <w:vAlign w:val="center"/>
          </w:tcPr>
          <w:p w14:paraId="24FDBE7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★露天开采：</w:t>
            </w:r>
            <w:r>
              <w:rPr>
                <w:rFonts w:hint="eastAsia" w:ascii="宋体" w:hAnsi="宋体" w:cs="宋体"/>
                <w:color w:val="000000"/>
                <w:kern w:val="0"/>
                <w:szCs w:val="21"/>
              </w:rPr>
              <w:br w:type="textWrapping"/>
            </w:r>
            <w:r>
              <w:rPr>
                <w:rFonts w:hint="eastAsia" w:ascii="宋体" w:hAnsi="宋体" w:cs="宋体"/>
                <w:color w:val="000000"/>
                <w:kern w:val="0"/>
                <w:szCs w:val="21"/>
              </w:rPr>
              <w:t>①钻孔：采用湿式、干式（带收尘）等凿岩作业，得2分；</w:t>
            </w:r>
            <w:r>
              <w:rPr>
                <w:rFonts w:hint="eastAsia" w:ascii="宋体" w:hAnsi="宋体" w:cs="宋体"/>
                <w:color w:val="000000"/>
                <w:kern w:val="0"/>
                <w:szCs w:val="21"/>
              </w:rPr>
              <w:br w:type="textWrapping"/>
            </w:r>
            <w:r>
              <w:rPr>
                <w:rFonts w:hint="eastAsia" w:ascii="宋体" w:hAnsi="宋体" w:cs="宋体"/>
                <w:color w:val="000000"/>
                <w:kern w:val="0"/>
                <w:szCs w:val="21"/>
              </w:rPr>
              <w:t>②爆破：采用微差爆破、预裂爆破、光面爆破等爆破作业，得2分；</w:t>
            </w:r>
            <w:r>
              <w:rPr>
                <w:rFonts w:hint="eastAsia" w:ascii="宋体" w:hAnsi="宋体" w:cs="宋体"/>
                <w:color w:val="000000"/>
                <w:kern w:val="0"/>
                <w:szCs w:val="21"/>
              </w:rPr>
              <w:br w:type="textWrapping"/>
            </w:r>
            <w:r>
              <w:rPr>
                <w:rFonts w:hint="eastAsia" w:ascii="宋体" w:hAnsi="宋体" w:cs="宋体"/>
                <w:color w:val="000000"/>
                <w:kern w:val="0"/>
                <w:szCs w:val="21"/>
              </w:rPr>
              <w:t>③铲装：采用大型化自动化液压铲装设备、液压挖掘机或装载机、自卸式矿车、大型自移式破碎机等先进设备进行铲装作业，得2分；</w:t>
            </w:r>
            <w:r>
              <w:rPr>
                <w:rFonts w:hint="eastAsia" w:ascii="宋体" w:hAnsi="宋体" w:cs="宋体"/>
                <w:color w:val="000000"/>
                <w:kern w:val="0"/>
                <w:szCs w:val="21"/>
              </w:rPr>
              <w:br w:type="textWrapping"/>
            </w:r>
            <w:r>
              <w:rPr>
                <w:rFonts w:hint="eastAsia" w:ascii="宋体" w:hAnsi="宋体" w:cs="宋体"/>
                <w:color w:val="000000"/>
                <w:kern w:val="0"/>
                <w:szCs w:val="21"/>
              </w:rPr>
              <w:t>④排土：生产期采用分期内排技术，最大化利用内排土场排土，减少外部土地占用，得2分。（兼备地下和露天开采的，以现阶段主要开采方式选择其一进行评分，分数不可累加）</w:t>
            </w:r>
            <w:r>
              <w:rPr>
                <w:rFonts w:hint="eastAsia" w:ascii="宋体" w:hAnsi="宋体" w:cs="宋体"/>
                <w:color w:val="000000"/>
                <w:kern w:val="0"/>
                <w:szCs w:val="21"/>
              </w:rPr>
              <w:br w:type="textWrapping"/>
            </w:r>
            <w:r>
              <w:rPr>
                <w:rFonts w:hint="eastAsia" w:ascii="宋体" w:hAnsi="宋体" w:cs="宋体"/>
                <w:color w:val="000000"/>
                <w:kern w:val="0"/>
                <w:szCs w:val="21"/>
              </w:rPr>
              <w:t>★地下开采：</w:t>
            </w:r>
            <w:r>
              <w:rPr>
                <w:rFonts w:hint="eastAsia" w:ascii="宋体" w:hAnsi="宋体" w:cs="宋体"/>
                <w:color w:val="000000"/>
                <w:kern w:val="0"/>
                <w:szCs w:val="21"/>
              </w:rPr>
              <w:br w:type="textWrapping"/>
            </w:r>
            <w:r>
              <w:rPr>
                <w:rFonts w:hint="eastAsia" w:ascii="宋体" w:hAnsi="宋体" w:cs="宋体"/>
                <w:color w:val="000000"/>
                <w:kern w:val="0"/>
                <w:szCs w:val="21"/>
              </w:rPr>
              <w:t>①采用减轻地表沉陷变形、减少对土壤和地下水污染的开采方式，得3分；</w:t>
            </w:r>
            <w:r>
              <w:rPr>
                <w:rFonts w:hint="eastAsia" w:ascii="宋体" w:hAnsi="宋体" w:cs="宋体"/>
                <w:color w:val="000000"/>
                <w:kern w:val="0"/>
                <w:szCs w:val="21"/>
              </w:rPr>
              <w:br w:type="textWrapping"/>
            </w:r>
            <w:r>
              <w:rPr>
                <w:rFonts w:hint="eastAsia" w:ascii="宋体" w:hAnsi="宋体" w:cs="宋体"/>
                <w:color w:val="000000"/>
                <w:kern w:val="0"/>
                <w:szCs w:val="21"/>
              </w:rPr>
              <w:t>②利用采空区规模化环保化处置尾矿、废石、煤矸石等，得3分；</w:t>
            </w:r>
            <w:r>
              <w:rPr>
                <w:rFonts w:hint="eastAsia" w:ascii="宋体" w:hAnsi="宋体" w:cs="宋体"/>
                <w:color w:val="000000"/>
                <w:kern w:val="0"/>
                <w:szCs w:val="21"/>
              </w:rPr>
              <w:br w:type="textWrapping"/>
            </w:r>
            <w:r>
              <w:rPr>
                <w:rFonts w:hint="eastAsia" w:ascii="宋体" w:hAnsi="宋体" w:cs="宋体"/>
                <w:color w:val="000000"/>
                <w:kern w:val="0"/>
                <w:szCs w:val="21"/>
              </w:rPr>
              <w:t>③应用其他无废开采、深部开采等先进开采技术，得2分。（兼备地下和露天开采的，以现阶段主要开采方式选择其一进行评分，分数不可累加）</w:t>
            </w:r>
            <w:r>
              <w:rPr>
                <w:rFonts w:hint="eastAsia" w:ascii="宋体" w:hAnsi="宋体" w:cs="宋体"/>
                <w:color w:val="000000"/>
                <w:kern w:val="0"/>
                <w:szCs w:val="21"/>
              </w:rPr>
              <w:br w:type="textWrapping"/>
            </w:r>
            <w:r>
              <w:rPr>
                <w:rFonts w:hint="eastAsia" w:ascii="宋体" w:hAnsi="宋体" w:cs="宋体"/>
                <w:color w:val="000000"/>
                <w:kern w:val="0"/>
                <w:szCs w:val="21"/>
              </w:rPr>
              <w:t>★适用于石油天然气、地热矿泉水等：</w:t>
            </w:r>
            <w:r>
              <w:rPr>
                <w:rFonts w:hint="eastAsia" w:ascii="宋体" w:hAnsi="宋体" w:cs="宋体"/>
                <w:color w:val="000000"/>
                <w:kern w:val="0"/>
                <w:szCs w:val="21"/>
              </w:rPr>
              <w:br w:type="textWrapping"/>
            </w:r>
            <w:r>
              <w:rPr>
                <w:rFonts w:hint="eastAsia" w:ascii="宋体" w:hAnsi="宋体" w:cs="宋体"/>
                <w:color w:val="000000"/>
                <w:kern w:val="0"/>
                <w:szCs w:val="21"/>
              </w:rPr>
              <w:t>①采用电动钻机及顶驱等钻井装置，得2分；</w:t>
            </w:r>
            <w:r>
              <w:rPr>
                <w:rFonts w:hint="eastAsia" w:ascii="宋体" w:hAnsi="宋体" w:cs="宋体"/>
                <w:color w:val="000000"/>
                <w:kern w:val="0"/>
                <w:szCs w:val="21"/>
              </w:rPr>
              <w:br w:type="textWrapping"/>
            </w:r>
            <w:r>
              <w:rPr>
                <w:rFonts w:hint="eastAsia" w:ascii="宋体" w:hAnsi="宋体" w:cs="宋体"/>
                <w:color w:val="000000"/>
                <w:kern w:val="0"/>
                <w:szCs w:val="21"/>
              </w:rPr>
              <w:t>②采用优快、控压等钻井技术，得2分；</w:t>
            </w:r>
            <w:r>
              <w:rPr>
                <w:rFonts w:hint="eastAsia" w:ascii="宋体" w:hAnsi="宋体" w:cs="宋体"/>
                <w:color w:val="000000"/>
                <w:kern w:val="0"/>
                <w:szCs w:val="21"/>
              </w:rPr>
              <w:br w:type="textWrapping"/>
            </w:r>
            <w:r>
              <w:rPr>
                <w:rFonts w:hint="eastAsia" w:ascii="宋体" w:hAnsi="宋体" w:cs="宋体"/>
                <w:color w:val="000000"/>
                <w:kern w:val="0"/>
                <w:szCs w:val="21"/>
              </w:rPr>
              <w:t>③采用环保型钻井液及循环利用技术，得2分；</w:t>
            </w:r>
            <w:r>
              <w:rPr>
                <w:rFonts w:hint="eastAsia" w:ascii="宋体" w:hAnsi="宋体" w:cs="宋体"/>
                <w:color w:val="000000"/>
                <w:kern w:val="0"/>
                <w:szCs w:val="21"/>
              </w:rPr>
              <w:br w:type="textWrapping"/>
            </w:r>
            <w:r>
              <w:rPr>
                <w:rFonts w:hint="eastAsia" w:ascii="宋体" w:hAnsi="宋体" w:cs="宋体"/>
                <w:color w:val="000000"/>
                <w:kern w:val="0"/>
                <w:szCs w:val="21"/>
              </w:rPr>
              <w:t>④及时无害化处置钻井泥浆等钻井废弃物，得2分。</w:t>
            </w:r>
          </w:p>
        </w:tc>
        <w:tc>
          <w:tcPr>
            <w:tcW w:w="913" w:type="dxa"/>
            <w:tcBorders>
              <w:top w:val="nil"/>
              <w:left w:val="nil"/>
              <w:bottom w:val="single" w:color="auto" w:sz="4" w:space="0"/>
              <w:right w:val="single" w:color="auto" w:sz="4" w:space="0"/>
            </w:tcBorders>
            <w:noWrap w:val="0"/>
            <w:vAlign w:val="center"/>
          </w:tcPr>
          <w:p w14:paraId="0DDD93D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34CB3B0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工艺技术装备资料</w:t>
            </w:r>
          </w:p>
        </w:tc>
        <w:tc>
          <w:tcPr>
            <w:tcW w:w="919" w:type="dxa"/>
            <w:tcBorders>
              <w:top w:val="nil"/>
              <w:left w:val="nil"/>
              <w:bottom w:val="single" w:color="auto" w:sz="4" w:space="0"/>
              <w:right w:val="single" w:color="auto" w:sz="4" w:space="0"/>
            </w:tcBorders>
            <w:noWrap w:val="0"/>
            <w:vAlign w:val="center"/>
          </w:tcPr>
          <w:p w14:paraId="70CD8EB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3EE7C6D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07FDA3B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1397A002">
        <w:tblPrEx>
          <w:tblCellMar>
            <w:top w:w="0" w:type="dxa"/>
            <w:left w:w="108" w:type="dxa"/>
            <w:bottom w:w="0" w:type="dxa"/>
            <w:right w:w="108" w:type="dxa"/>
          </w:tblCellMar>
        </w:tblPrEx>
        <w:trPr>
          <w:trHeight w:val="1383" w:hRule="atLeast"/>
          <w:jc w:val="center"/>
        </w:trPr>
        <w:tc>
          <w:tcPr>
            <w:tcW w:w="1188" w:type="dxa"/>
            <w:vMerge w:val="restart"/>
            <w:tcBorders>
              <w:top w:val="nil"/>
              <w:left w:val="single" w:color="auto" w:sz="4" w:space="0"/>
              <w:right w:val="single" w:color="auto" w:sz="4" w:space="0"/>
            </w:tcBorders>
            <w:noWrap w:val="0"/>
            <w:vAlign w:val="center"/>
          </w:tcPr>
          <w:p w14:paraId="39ED9B4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二、资源开采（4项，20分）</w:t>
            </w:r>
          </w:p>
        </w:tc>
        <w:tc>
          <w:tcPr>
            <w:tcW w:w="1185" w:type="dxa"/>
            <w:tcBorders>
              <w:top w:val="nil"/>
              <w:left w:val="single" w:color="auto" w:sz="4" w:space="0"/>
              <w:bottom w:val="single" w:color="auto" w:sz="4" w:space="0"/>
              <w:right w:val="single" w:color="auto" w:sz="4" w:space="0"/>
            </w:tcBorders>
            <w:noWrap w:val="0"/>
            <w:vAlign w:val="center"/>
          </w:tcPr>
          <w:p w14:paraId="2F1ED966">
            <w:pPr>
              <w:widowControl/>
              <w:adjustRightInd w:val="0"/>
              <w:snapToGrid w:val="0"/>
              <w:spacing w:line="240" w:lineRule="atLeast"/>
              <w:jc w:val="left"/>
              <w:rPr>
                <w:rFonts w:hint="eastAsia" w:ascii="宋体" w:hAnsi="宋体" w:cs="宋体"/>
                <w:color w:val="000000"/>
                <w:kern w:val="0"/>
                <w:szCs w:val="21"/>
              </w:rPr>
            </w:pPr>
            <w:r>
              <w:rPr>
                <w:rFonts w:hint="eastAsia" w:ascii="宋体" w:hAnsi="宋体" w:cs="宋体"/>
                <w:color w:val="000000"/>
                <w:kern w:val="0"/>
                <w:szCs w:val="21"/>
              </w:rPr>
              <w:t>1开采活动（15分）</w:t>
            </w:r>
          </w:p>
        </w:tc>
        <w:tc>
          <w:tcPr>
            <w:tcW w:w="1245" w:type="dxa"/>
            <w:tcBorders>
              <w:top w:val="nil"/>
              <w:left w:val="nil"/>
              <w:bottom w:val="single" w:color="auto" w:sz="4" w:space="0"/>
              <w:right w:val="single" w:color="auto" w:sz="4" w:space="0"/>
            </w:tcBorders>
            <w:noWrap w:val="0"/>
            <w:vAlign w:val="center"/>
          </w:tcPr>
          <w:p w14:paraId="01E2F3C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10开采回采率</w:t>
            </w:r>
          </w:p>
        </w:tc>
        <w:tc>
          <w:tcPr>
            <w:tcW w:w="975" w:type="dxa"/>
            <w:tcBorders>
              <w:top w:val="nil"/>
              <w:left w:val="nil"/>
              <w:bottom w:val="single" w:color="auto" w:sz="4" w:space="0"/>
              <w:right w:val="single" w:color="auto" w:sz="4" w:space="0"/>
            </w:tcBorders>
            <w:noWrap w:val="0"/>
            <w:vAlign w:val="center"/>
          </w:tcPr>
          <w:p w14:paraId="7A0A95F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5CE68A5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开采回采率符合矿产资源合理开发利用“三率”指标最低要求。符合要求得2分，不符合得0分。</w:t>
            </w:r>
          </w:p>
        </w:tc>
        <w:tc>
          <w:tcPr>
            <w:tcW w:w="913" w:type="dxa"/>
            <w:tcBorders>
              <w:top w:val="nil"/>
              <w:left w:val="nil"/>
              <w:bottom w:val="single" w:color="auto" w:sz="4" w:space="0"/>
              <w:right w:val="single" w:color="auto" w:sz="4" w:space="0"/>
            </w:tcBorders>
            <w:noWrap w:val="0"/>
            <w:vAlign w:val="center"/>
          </w:tcPr>
          <w:p w14:paraId="40F078D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5E62742C">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　</w:t>
            </w:r>
          </w:p>
        </w:tc>
        <w:tc>
          <w:tcPr>
            <w:tcW w:w="919" w:type="dxa"/>
            <w:tcBorders>
              <w:top w:val="nil"/>
              <w:left w:val="nil"/>
              <w:bottom w:val="single" w:color="auto" w:sz="4" w:space="0"/>
              <w:right w:val="single" w:color="auto" w:sz="4" w:space="0"/>
            </w:tcBorders>
            <w:noWrap w:val="0"/>
            <w:vAlign w:val="center"/>
          </w:tcPr>
          <w:p w14:paraId="66BACB1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1240E28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19C87C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00E65BC6">
        <w:tblPrEx>
          <w:tblCellMar>
            <w:top w:w="0" w:type="dxa"/>
            <w:left w:w="108" w:type="dxa"/>
            <w:bottom w:w="0" w:type="dxa"/>
            <w:right w:w="108" w:type="dxa"/>
          </w:tblCellMar>
        </w:tblPrEx>
        <w:trPr>
          <w:trHeight w:val="6622" w:hRule="atLeast"/>
          <w:jc w:val="center"/>
        </w:trPr>
        <w:tc>
          <w:tcPr>
            <w:tcW w:w="1188" w:type="dxa"/>
            <w:vMerge w:val="continue"/>
            <w:tcBorders>
              <w:left w:val="single" w:color="auto" w:sz="4" w:space="0"/>
              <w:bottom w:val="single" w:color="auto" w:sz="4" w:space="0"/>
              <w:right w:val="single" w:color="auto" w:sz="4" w:space="0"/>
            </w:tcBorders>
            <w:noWrap w:val="0"/>
            <w:vAlign w:val="center"/>
          </w:tcPr>
          <w:p w14:paraId="039A8012">
            <w:pPr>
              <w:widowControl/>
              <w:adjustRightInd w:val="0"/>
              <w:snapToGrid w:val="0"/>
              <w:spacing w:line="240" w:lineRule="atLeast"/>
              <w:jc w:val="center"/>
              <w:rPr>
                <w:rFonts w:hint="eastAsia" w:ascii="宋体" w:hAnsi="宋体" w:cs="宋体"/>
                <w:color w:val="000000"/>
                <w:kern w:val="0"/>
                <w:szCs w:val="21"/>
              </w:rPr>
            </w:pPr>
          </w:p>
        </w:tc>
        <w:tc>
          <w:tcPr>
            <w:tcW w:w="1185" w:type="dxa"/>
            <w:tcBorders>
              <w:top w:val="nil"/>
              <w:left w:val="nil"/>
              <w:bottom w:val="single" w:color="auto" w:sz="4" w:space="0"/>
              <w:right w:val="single" w:color="auto" w:sz="4" w:space="0"/>
            </w:tcBorders>
            <w:noWrap w:val="0"/>
            <w:vAlign w:val="center"/>
          </w:tcPr>
          <w:p w14:paraId="79CD3AE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2开采工作面（5分）</w:t>
            </w:r>
          </w:p>
        </w:tc>
        <w:tc>
          <w:tcPr>
            <w:tcW w:w="1245" w:type="dxa"/>
            <w:tcBorders>
              <w:top w:val="nil"/>
              <w:left w:val="nil"/>
              <w:bottom w:val="single" w:color="auto" w:sz="4" w:space="0"/>
              <w:right w:val="single" w:color="auto" w:sz="4" w:space="0"/>
            </w:tcBorders>
            <w:noWrap w:val="0"/>
            <w:vAlign w:val="center"/>
          </w:tcPr>
          <w:p w14:paraId="04241A4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11质量要求</w:t>
            </w:r>
          </w:p>
        </w:tc>
        <w:tc>
          <w:tcPr>
            <w:tcW w:w="975" w:type="dxa"/>
            <w:tcBorders>
              <w:top w:val="nil"/>
              <w:left w:val="nil"/>
              <w:bottom w:val="single" w:color="auto" w:sz="4" w:space="0"/>
              <w:right w:val="single" w:color="auto" w:sz="4" w:space="0"/>
            </w:tcBorders>
            <w:noWrap w:val="0"/>
            <w:vAlign w:val="center"/>
          </w:tcPr>
          <w:p w14:paraId="54B65F3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w:t>
            </w:r>
          </w:p>
        </w:tc>
        <w:tc>
          <w:tcPr>
            <w:tcW w:w="4745" w:type="dxa"/>
            <w:tcBorders>
              <w:top w:val="nil"/>
              <w:left w:val="nil"/>
              <w:bottom w:val="single" w:color="auto" w:sz="4" w:space="0"/>
              <w:right w:val="single" w:color="auto" w:sz="4" w:space="0"/>
            </w:tcBorders>
            <w:noWrap w:val="0"/>
            <w:vAlign w:val="center"/>
          </w:tcPr>
          <w:p w14:paraId="5127C508">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★露天开采：</w:t>
            </w:r>
          </w:p>
          <w:p w14:paraId="383DFA56">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作业平台干净，保持平整、通畅，无杂物、无积水，工作台阶与非工作台阶坡面无危石，非工作台阶滚落物及时清理，并在安全隐患位置设置警戒线或安全牌。符合要求得5分，发现一处不符合扣1分。</w:t>
            </w:r>
          </w:p>
          <w:p w14:paraId="35952BFC">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★地下开采：</w:t>
            </w:r>
          </w:p>
          <w:p w14:paraId="221805C6">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工作面满足通风、运输、行人、设备安装、检修的需要，支护完好；无较大面积积水、无浮碴、无杂物，材料堆放整齐。符合要求得5分，发现一处不符合扣1分。</w:t>
            </w:r>
          </w:p>
          <w:p w14:paraId="48BED373">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★适用于石油天然气等：</w:t>
            </w:r>
          </w:p>
          <w:p w14:paraId="4AD9E27F">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生产作业场地无明显油污，无“跑冒滴漏”及对井场表层土壤造成污染；钻井废弃物不落地，进行集中无害化处理。符合要求得5分，发现一处不符合扣1分。</w:t>
            </w:r>
          </w:p>
          <w:p w14:paraId="727A40A0">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★适用于地热矿泉水等：</w:t>
            </w:r>
          </w:p>
          <w:p w14:paraId="611989F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生产作业场所应干净整洁、无污渍；井（泉）及其附属设施保持完好并正常运行，无堵塞或泄露；应建有规范完备的污废水处理设施，正常运行合理处置污水、废水。符合要求得5分，发现一处不符合扣1分。</w:t>
            </w:r>
          </w:p>
        </w:tc>
        <w:tc>
          <w:tcPr>
            <w:tcW w:w="913" w:type="dxa"/>
            <w:tcBorders>
              <w:top w:val="nil"/>
              <w:left w:val="nil"/>
              <w:bottom w:val="single" w:color="auto" w:sz="4" w:space="0"/>
              <w:right w:val="single" w:color="auto" w:sz="4" w:space="0"/>
            </w:tcBorders>
            <w:noWrap w:val="0"/>
            <w:vAlign w:val="center"/>
          </w:tcPr>
          <w:p w14:paraId="5995251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7ED2F9BF">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　</w:t>
            </w:r>
          </w:p>
        </w:tc>
        <w:tc>
          <w:tcPr>
            <w:tcW w:w="919" w:type="dxa"/>
            <w:tcBorders>
              <w:top w:val="nil"/>
              <w:left w:val="nil"/>
              <w:bottom w:val="single" w:color="auto" w:sz="4" w:space="0"/>
              <w:right w:val="single" w:color="auto" w:sz="4" w:space="0"/>
            </w:tcBorders>
            <w:noWrap w:val="0"/>
            <w:vAlign w:val="center"/>
          </w:tcPr>
          <w:p w14:paraId="4CC0BBF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54D359C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36FE13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517B6437">
        <w:tblPrEx>
          <w:tblCellMar>
            <w:top w:w="0" w:type="dxa"/>
            <w:left w:w="108" w:type="dxa"/>
            <w:bottom w:w="0" w:type="dxa"/>
            <w:right w:w="108" w:type="dxa"/>
          </w:tblCellMar>
        </w:tblPrEx>
        <w:trPr>
          <w:trHeight w:val="380" w:hRule="atLeast"/>
          <w:jc w:val="center"/>
        </w:trPr>
        <w:tc>
          <w:tcPr>
            <w:tcW w:w="14924" w:type="dxa"/>
            <w:gridSpan w:val="10"/>
            <w:tcBorders>
              <w:top w:val="nil"/>
              <w:left w:val="single" w:color="auto" w:sz="4" w:space="0"/>
              <w:bottom w:val="single" w:color="auto" w:sz="4" w:space="0"/>
              <w:right w:val="single" w:color="auto" w:sz="4" w:space="0"/>
            </w:tcBorders>
            <w:noWrap w:val="0"/>
            <w:vAlign w:val="center"/>
          </w:tcPr>
          <w:p w14:paraId="7934C97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（1）非金属、化工、黄金、冶金、有色、油气、煤炭、地热、矿泉水等行业</w:t>
            </w:r>
          </w:p>
        </w:tc>
      </w:tr>
      <w:tr w14:paraId="46115EFD">
        <w:tblPrEx>
          <w:tblCellMar>
            <w:top w:w="0" w:type="dxa"/>
            <w:left w:w="108" w:type="dxa"/>
            <w:bottom w:w="0" w:type="dxa"/>
            <w:right w:w="108" w:type="dxa"/>
          </w:tblCellMar>
        </w:tblPrEx>
        <w:trPr>
          <w:trHeight w:val="1526" w:hRule="atLeast"/>
          <w:jc w:val="center"/>
        </w:trPr>
        <w:tc>
          <w:tcPr>
            <w:tcW w:w="1188" w:type="dxa"/>
            <w:vMerge w:val="restart"/>
            <w:tcBorders>
              <w:top w:val="single" w:color="auto" w:sz="4" w:space="0"/>
              <w:left w:val="single" w:color="auto" w:sz="4" w:space="0"/>
              <w:right w:val="single" w:color="auto" w:sz="4" w:space="0"/>
            </w:tcBorders>
            <w:noWrap w:val="0"/>
            <w:vAlign w:val="center"/>
          </w:tcPr>
          <w:p w14:paraId="2BA3B512">
            <w:pPr>
              <w:widowControl/>
              <w:adjustRightInd w:val="0"/>
              <w:snapToGrid w:val="0"/>
              <w:spacing w:line="240" w:lineRule="atLeast"/>
              <w:jc w:val="left"/>
              <w:rPr>
                <w:rFonts w:ascii="宋体" w:hAnsi="宋体" w:cs="宋体"/>
                <w:color w:val="000000"/>
                <w:kern w:val="0"/>
                <w:szCs w:val="21"/>
              </w:rPr>
            </w:pPr>
            <w:r>
              <w:rPr>
                <w:rFonts w:hint="eastAsia" w:ascii="宋体" w:hAnsi="宋体" w:cs="宋体"/>
                <w:color w:val="000000"/>
                <w:kern w:val="0"/>
                <w:szCs w:val="21"/>
              </w:rPr>
              <w:t>三、资源综合利用（9项18分；4项18分）</w:t>
            </w:r>
          </w:p>
          <w:p w14:paraId="7AE1BAEE">
            <w:pPr>
              <w:adjustRightInd w:val="0"/>
              <w:snapToGrid w:val="0"/>
              <w:spacing w:line="240" w:lineRule="atLeast"/>
              <w:jc w:val="center"/>
              <w:rPr>
                <w:rFonts w:hint="eastAsia" w:ascii="宋体" w:hAnsi="宋体" w:cs="宋体"/>
                <w:color w:val="000000"/>
                <w:kern w:val="0"/>
                <w:szCs w:val="21"/>
              </w:rPr>
            </w:pPr>
          </w:p>
        </w:tc>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14:paraId="31F85F2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1选矿回收（5分）</w:t>
            </w:r>
          </w:p>
        </w:tc>
        <w:tc>
          <w:tcPr>
            <w:tcW w:w="1245" w:type="dxa"/>
            <w:tcBorders>
              <w:top w:val="nil"/>
              <w:left w:val="nil"/>
              <w:bottom w:val="single" w:color="auto" w:sz="4" w:space="0"/>
              <w:right w:val="single" w:color="auto" w:sz="4" w:space="0"/>
            </w:tcBorders>
            <w:noWrap w:val="0"/>
            <w:vAlign w:val="center"/>
          </w:tcPr>
          <w:p w14:paraId="7399D68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12选矿加工工艺</w:t>
            </w:r>
          </w:p>
        </w:tc>
        <w:tc>
          <w:tcPr>
            <w:tcW w:w="975" w:type="dxa"/>
            <w:tcBorders>
              <w:top w:val="nil"/>
              <w:left w:val="nil"/>
              <w:bottom w:val="single" w:color="auto" w:sz="4" w:space="0"/>
              <w:right w:val="single" w:color="auto" w:sz="4" w:space="0"/>
            </w:tcBorders>
            <w:noWrap w:val="0"/>
            <w:vAlign w:val="center"/>
          </w:tcPr>
          <w:p w14:paraId="42D6244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w:t>
            </w:r>
          </w:p>
        </w:tc>
        <w:tc>
          <w:tcPr>
            <w:tcW w:w="4745" w:type="dxa"/>
            <w:tcBorders>
              <w:top w:val="nil"/>
              <w:left w:val="nil"/>
              <w:bottom w:val="single" w:color="auto" w:sz="4" w:space="0"/>
              <w:right w:val="single" w:color="auto" w:sz="4" w:space="0"/>
            </w:tcBorders>
            <w:noWrap w:val="0"/>
            <w:vAlign w:val="center"/>
          </w:tcPr>
          <w:p w14:paraId="29CAC038">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选矿工艺符合设计规范，不得使用国家规定的限制类和淘汰类技术、工艺和装备。地热、矿泉水的利用做到资源分级利用、优质优用。符合要求得3分，不符合得0分。</w:t>
            </w:r>
          </w:p>
        </w:tc>
        <w:tc>
          <w:tcPr>
            <w:tcW w:w="913" w:type="dxa"/>
            <w:tcBorders>
              <w:top w:val="nil"/>
              <w:left w:val="nil"/>
              <w:bottom w:val="single" w:color="auto" w:sz="4" w:space="0"/>
              <w:right w:val="single" w:color="auto" w:sz="4" w:space="0"/>
            </w:tcBorders>
            <w:noWrap w:val="0"/>
            <w:vAlign w:val="center"/>
          </w:tcPr>
          <w:p w14:paraId="2B14B3D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38172C4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 xml:space="preserve">《煤炭洗选工程设计规范》（GB 50359-2016）等矿山选矿工艺设计规范，符合环评批复相关要求 </w:t>
            </w:r>
          </w:p>
        </w:tc>
        <w:tc>
          <w:tcPr>
            <w:tcW w:w="919" w:type="dxa"/>
            <w:tcBorders>
              <w:top w:val="nil"/>
              <w:left w:val="nil"/>
              <w:bottom w:val="single" w:color="auto" w:sz="4" w:space="0"/>
              <w:right w:val="single" w:color="auto" w:sz="4" w:space="0"/>
            </w:tcBorders>
            <w:noWrap w:val="0"/>
            <w:vAlign w:val="center"/>
          </w:tcPr>
          <w:p w14:paraId="2E73C45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6C24AAE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33D562C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F381C33">
        <w:tblPrEx>
          <w:tblCellMar>
            <w:top w:w="0" w:type="dxa"/>
            <w:left w:w="108" w:type="dxa"/>
            <w:bottom w:w="0" w:type="dxa"/>
            <w:right w:w="108" w:type="dxa"/>
          </w:tblCellMar>
        </w:tblPrEx>
        <w:trPr>
          <w:trHeight w:val="1914" w:hRule="atLeast"/>
          <w:jc w:val="center"/>
        </w:trPr>
        <w:tc>
          <w:tcPr>
            <w:tcW w:w="1188" w:type="dxa"/>
            <w:vMerge w:val="continue"/>
            <w:tcBorders>
              <w:left w:val="single" w:color="auto" w:sz="4" w:space="0"/>
              <w:right w:val="single" w:color="auto" w:sz="4" w:space="0"/>
            </w:tcBorders>
            <w:noWrap w:val="0"/>
            <w:vAlign w:val="center"/>
          </w:tcPr>
          <w:p w14:paraId="17901C56">
            <w:pPr>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4FF4D4E6">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7B05333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13选矿回收率</w:t>
            </w:r>
          </w:p>
        </w:tc>
        <w:tc>
          <w:tcPr>
            <w:tcW w:w="975" w:type="dxa"/>
            <w:tcBorders>
              <w:top w:val="nil"/>
              <w:left w:val="nil"/>
              <w:bottom w:val="single" w:color="auto" w:sz="4" w:space="0"/>
              <w:right w:val="single" w:color="auto" w:sz="4" w:space="0"/>
            </w:tcBorders>
            <w:noWrap w:val="0"/>
            <w:vAlign w:val="center"/>
          </w:tcPr>
          <w:p w14:paraId="53F08F2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544A3D2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选矿回收率符合矿产资源合理开发利用“三率”指标最低要求。符合要求得2分，不符合得0分。</w:t>
            </w:r>
          </w:p>
        </w:tc>
        <w:tc>
          <w:tcPr>
            <w:tcW w:w="913" w:type="dxa"/>
            <w:tcBorders>
              <w:top w:val="nil"/>
              <w:left w:val="nil"/>
              <w:bottom w:val="single" w:color="auto" w:sz="4" w:space="0"/>
              <w:right w:val="single" w:color="auto" w:sz="4" w:space="0"/>
            </w:tcBorders>
            <w:noWrap w:val="0"/>
            <w:vAlign w:val="center"/>
          </w:tcPr>
          <w:p w14:paraId="51DC32D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09BFF6A0">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自然资源部发布的“三率”指标要求，符合环评批复相关要求（矿产资源“三率”指标要求 DZ/T 0462）</w:t>
            </w:r>
          </w:p>
        </w:tc>
        <w:tc>
          <w:tcPr>
            <w:tcW w:w="919" w:type="dxa"/>
            <w:tcBorders>
              <w:top w:val="nil"/>
              <w:left w:val="nil"/>
              <w:bottom w:val="single" w:color="auto" w:sz="4" w:space="0"/>
              <w:right w:val="single" w:color="auto" w:sz="4" w:space="0"/>
            </w:tcBorders>
            <w:noWrap w:val="0"/>
            <w:vAlign w:val="center"/>
          </w:tcPr>
          <w:p w14:paraId="1882375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4609021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0FA5FDA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7B831FF6">
        <w:tblPrEx>
          <w:tblCellMar>
            <w:top w:w="0" w:type="dxa"/>
            <w:left w:w="108" w:type="dxa"/>
            <w:bottom w:w="0" w:type="dxa"/>
            <w:right w:w="108" w:type="dxa"/>
          </w:tblCellMar>
        </w:tblPrEx>
        <w:trPr>
          <w:trHeight w:val="1224" w:hRule="atLeast"/>
          <w:jc w:val="center"/>
        </w:trPr>
        <w:tc>
          <w:tcPr>
            <w:tcW w:w="1188" w:type="dxa"/>
            <w:vMerge w:val="continue"/>
            <w:tcBorders>
              <w:left w:val="single" w:color="auto" w:sz="4" w:space="0"/>
              <w:bottom w:val="single" w:color="auto" w:sz="4" w:space="0"/>
              <w:right w:val="single" w:color="auto" w:sz="4" w:space="0"/>
            </w:tcBorders>
            <w:noWrap w:val="0"/>
            <w:vAlign w:val="center"/>
          </w:tcPr>
          <w:p w14:paraId="7B91BC62">
            <w:pPr>
              <w:adjustRightInd w:val="0"/>
              <w:snapToGrid w:val="0"/>
              <w:spacing w:line="240" w:lineRule="atLeast"/>
              <w:jc w:val="center"/>
              <w:rPr>
                <w:rFonts w:hint="eastAsia" w:ascii="宋体" w:hAnsi="宋体" w:cs="宋体"/>
                <w:color w:val="000000"/>
                <w:kern w:val="0"/>
                <w:szCs w:val="21"/>
              </w:rPr>
            </w:pPr>
          </w:p>
        </w:tc>
        <w:tc>
          <w:tcPr>
            <w:tcW w:w="1185" w:type="dxa"/>
            <w:vMerge w:val="restart"/>
            <w:tcBorders>
              <w:top w:val="nil"/>
              <w:left w:val="single" w:color="auto" w:sz="4" w:space="0"/>
              <w:bottom w:val="single" w:color="auto" w:sz="4" w:space="0"/>
              <w:right w:val="single" w:color="auto" w:sz="4" w:space="0"/>
            </w:tcBorders>
            <w:noWrap w:val="0"/>
            <w:vAlign w:val="center"/>
          </w:tcPr>
          <w:p w14:paraId="4B17CFD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2综合利用（5分）</w:t>
            </w:r>
          </w:p>
        </w:tc>
        <w:tc>
          <w:tcPr>
            <w:tcW w:w="1245" w:type="dxa"/>
            <w:tcBorders>
              <w:top w:val="nil"/>
              <w:left w:val="nil"/>
              <w:bottom w:val="single" w:color="auto" w:sz="4" w:space="0"/>
              <w:right w:val="single" w:color="auto" w:sz="4" w:space="0"/>
            </w:tcBorders>
            <w:noWrap w:val="0"/>
            <w:vAlign w:val="center"/>
          </w:tcPr>
          <w:p w14:paraId="2E666F2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14共伴生资源综合勘查与评价</w:t>
            </w:r>
          </w:p>
        </w:tc>
        <w:tc>
          <w:tcPr>
            <w:tcW w:w="975" w:type="dxa"/>
            <w:tcBorders>
              <w:top w:val="nil"/>
              <w:left w:val="nil"/>
              <w:bottom w:val="single" w:color="auto" w:sz="4" w:space="0"/>
              <w:right w:val="single" w:color="auto" w:sz="4" w:space="0"/>
            </w:tcBorders>
            <w:noWrap w:val="0"/>
            <w:vAlign w:val="center"/>
          </w:tcPr>
          <w:p w14:paraId="2D6714C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565CB58F">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按矿产资源综合勘查评价规范进行综合勘查、综合评价。符合要求得2分，不符合得0分。</w:t>
            </w:r>
          </w:p>
        </w:tc>
        <w:tc>
          <w:tcPr>
            <w:tcW w:w="913" w:type="dxa"/>
            <w:tcBorders>
              <w:top w:val="nil"/>
              <w:left w:val="nil"/>
              <w:bottom w:val="single" w:color="auto" w:sz="4" w:space="0"/>
              <w:right w:val="single" w:color="auto" w:sz="4" w:space="0"/>
            </w:tcBorders>
            <w:noWrap w:val="0"/>
            <w:vAlign w:val="center"/>
          </w:tcPr>
          <w:p w14:paraId="50B9B77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7CC2F3A1">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《矿产资源综合勘查评价规范》（GB/T 25283），符合环评批复相关要求</w:t>
            </w:r>
          </w:p>
        </w:tc>
        <w:tc>
          <w:tcPr>
            <w:tcW w:w="919" w:type="dxa"/>
            <w:tcBorders>
              <w:top w:val="nil"/>
              <w:left w:val="nil"/>
              <w:bottom w:val="single" w:color="auto" w:sz="4" w:space="0"/>
              <w:right w:val="single" w:color="auto" w:sz="4" w:space="0"/>
            </w:tcBorders>
            <w:noWrap w:val="0"/>
            <w:vAlign w:val="center"/>
          </w:tcPr>
          <w:p w14:paraId="5460D3A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2D27C16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76D20A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7A92EC6B">
        <w:tblPrEx>
          <w:tblCellMar>
            <w:top w:w="0" w:type="dxa"/>
            <w:left w:w="108" w:type="dxa"/>
            <w:bottom w:w="0" w:type="dxa"/>
            <w:right w:w="108" w:type="dxa"/>
          </w:tblCellMar>
        </w:tblPrEx>
        <w:trPr>
          <w:trHeight w:val="1769"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25DA3853">
            <w:pPr>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14:paraId="29545AE5">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2D55C4F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15共伴生矿产资源综合利用率</w:t>
            </w:r>
          </w:p>
        </w:tc>
        <w:tc>
          <w:tcPr>
            <w:tcW w:w="975" w:type="dxa"/>
            <w:tcBorders>
              <w:top w:val="nil"/>
              <w:left w:val="nil"/>
              <w:bottom w:val="single" w:color="auto" w:sz="4" w:space="0"/>
              <w:right w:val="single" w:color="auto" w:sz="4" w:space="0"/>
            </w:tcBorders>
            <w:noWrap w:val="0"/>
            <w:vAlign w:val="center"/>
          </w:tcPr>
          <w:p w14:paraId="3D2619B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41DABEA4">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共伴生矿产综合利用率符合矿产资源合理开发利用“三率”指标最低要求。符合要求得2分，不符合得0分。</w:t>
            </w:r>
          </w:p>
        </w:tc>
        <w:tc>
          <w:tcPr>
            <w:tcW w:w="913" w:type="dxa"/>
            <w:tcBorders>
              <w:top w:val="nil"/>
              <w:left w:val="nil"/>
              <w:bottom w:val="single" w:color="auto" w:sz="4" w:space="0"/>
              <w:right w:val="single" w:color="auto" w:sz="4" w:space="0"/>
            </w:tcBorders>
            <w:noWrap w:val="0"/>
            <w:vAlign w:val="center"/>
          </w:tcPr>
          <w:p w14:paraId="78E6FAD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18061D46">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自然资源部发布的“三率”指标要求，符合环评批复相关要求（矿产资源“三率”指标要求 DZ/T 0462）</w:t>
            </w:r>
          </w:p>
        </w:tc>
        <w:tc>
          <w:tcPr>
            <w:tcW w:w="919" w:type="dxa"/>
            <w:tcBorders>
              <w:top w:val="nil"/>
              <w:left w:val="nil"/>
              <w:bottom w:val="single" w:color="auto" w:sz="4" w:space="0"/>
              <w:right w:val="single" w:color="auto" w:sz="4" w:space="0"/>
            </w:tcBorders>
            <w:noWrap w:val="0"/>
            <w:vAlign w:val="center"/>
          </w:tcPr>
          <w:p w14:paraId="1F8F482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6054E91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58EA3D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D504E1F">
        <w:tblPrEx>
          <w:tblCellMar>
            <w:top w:w="0" w:type="dxa"/>
            <w:left w:w="108" w:type="dxa"/>
            <w:bottom w:w="0" w:type="dxa"/>
            <w:right w:w="108" w:type="dxa"/>
          </w:tblCellMar>
        </w:tblPrEx>
        <w:trPr>
          <w:trHeight w:val="1179"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5ADBABBE">
            <w:pPr>
              <w:widowControl/>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14:paraId="76F904DE">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3B0ABB2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16对暂不能开采利用的矿产</w:t>
            </w:r>
          </w:p>
        </w:tc>
        <w:tc>
          <w:tcPr>
            <w:tcW w:w="975" w:type="dxa"/>
            <w:tcBorders>
              <w:top w:val="nil"/>
              <w:left w:val="nil"/>
              <w:bottom w:val="single" w:color="auto" w:sz="4" w:space="0"/>
              <w:right w:val="single" w:color="auto" w:sz="4" w:space="0"/>
            </w:tcBorders>
            <w:noWrap w:val="0"/>
            <w:vAlign w:val="center"/>
          </w:tcPr>
          <w:p w14:paraId="778F81C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6CE4814F">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对暂不能开采利用的共伴生矿产采取保护措施。符合要求得1分，不符合得0分。</w:t>
            </w:r>
          </w:p>
        </w:tc>
        <w:tc>
          <w:tcPr>
            <w:tcW w:w="913" w:type="dxa"/>
            <w:tcBorders>
              <w:top w:val="nil"/>
              <w:left w:val="nil"/>
              <w:bottom w:val="single" w:color="auto" w:sz="4" w:space="0"/>
              <w:right w:val="single" w:color="auto" w:sz="4" w:space="0"/>
            </w:tcBorders>
            <w:noWrap w:val="0"/>
            <w:vAlign w:val="center"/>
          </w:tcPr>
          <w:p w14:paraId="6E6143C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686287DA">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《矿产资源开发利用方案》，矿山设计，符合环评批复相关要求</w:t>
            </w:r>
          </w:p>
        </w:tc>
        <w:tc>
          <w:tcPr>
            <w:tcW w:w="919" w:type="dxa"/>
            <w:tcBorders>
              <w:top w:val="nil"/>
              <w:left w:val="nil"/>
              <w:bottom w:val="single" w:color="auto" w:sz="4" w:space="0"/>
              <w:right w:val="single" w:color="auto" w:sz="4" w:space="0"/>
            </w:tcBorders>
            <w:noWrap w:val="0"/>
            <w:vAlign w:val="center"/>
          </w:tcPr>
          <w:p w14:paraId="7806BD8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2AD6A43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E67FCA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642E2B52">
        <w:tblPrEx>
          <w:tblCellMar>
            <w:top w:w="0" w:type="dxa"/>
            <w:left w:w="108" w:type="dxa"/>
            <w:bottom w:w="0" w:type="dxa"/>
            <w:right w:w="108" w:type="dxa"/>
          </w:tblCellMar>
        </w:tblPrEx>
        <w:trPr>
          <w:trHeight w:val="2283"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67E5A9D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三、资源综合利用（9项18分；4项18分）</w:t>
            </w:r>
          </w:p>
          <w:p w14:paraId="5ED8FE60">
            <w:pPr>
              <w:adjustRightInd w:val="0"/>
              <w:snapToGrid w:val="0"/>
              <w:spacing w:line="240" w:lineRule="atLeast"/>
              <w:jc w:val="center"/>
              <w:rPr>
                <w:rFonts w:hint="eastAsia" w:ascii="宋体" w:hAnsi="宋体" w:cs="宋体"/>
                <w:color w:val="000000"/>
                <w:kern w:val="0"/>
                <w:szCs w:val="21"/>
              </w:rPr>
            </w:pPr>
          </w:p>
        </w:tc>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14:paraId="402CEE3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3固废综合利用（3分）</w:t>
            </w:r>
          </w:p>
        </w:tc>
        <w:tc>
          <w:tcPr>
            <w:tcW w:w="1245" w:type="dxa"/>
            <w:tcBorders>
              <w:top w:val="nil"/>
              <w:left w:val="nil"/>
              <w:bottom w:val="single" w:color="auto" w:sz="4" w:space="0"/>
              <w:right w:val="single" w:color="auto" w:sz="4" w:space="0"/>
            </w:tcBorders>
            <w:noWrap w:val="0"/>
            <w:vAlign w:val="center"/>
          </w:tcPr>
          <w:p w14:paraId="7570076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17工业固废处置与利用</w:t>
            </w:r>
          </w:p>
        </w:tc>
        <w:tc>
          <w:tcPr>
            <w:tcW w:w="975" w:type="dxa"/>
            <w:tcBorders>
              <w:top w:val="nil"/>
              <w:left w:val="nil"/>
              <w:bottom w:val="single" w:color="auto" w:sz="4" w:space="0"/>
              <w:right w:val="single" w:color="auto" w:sz="4" w:space="0"/>
            </w:tcBorders>
            <w:noWrap w:val="0"/>
            <w:vAlign w:val="center"/>
          </w:tcPr>
          <w:p w14:paraId="3429228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4F9C5E6B">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通过回填、铺路、工程建设等方式充分利用固体废弃物，得0.5分；剥离表土用于土地复垦、生态修复，得1分（无表土的，直接得1分）；渗滤液收集、废水处理、地下水环境监测等尾矿库污染防治设施符合相关法规标准要求，得0.5分。</w:t>
            </w:r>
          </w:p>
        </w:tc>
        <w:tc>
          <w:tcPr>
            <w:tcW w:w="913" w:type="dxa"/>
            <w:tcBorders>
              <w:top w:val="nil"/>
              <w:left w:val="nil"/>
              <w:bottom w:val="single" w:color="auto" w:sz="4" w:space="0"/>
              <w:right w:val="single" w:color="auto" w:sz="4" w:space="0"/>
            </w:tcBorders>
            <w:noWrap w:val="0"/>
            <w:vAlign w:val="center"/>
          </w:tcPr>
          <w:p w14:paraId="0DEBA66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3C24A476">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《矿产资源开发利用方案》、《一般工业固体废物贮存和填埋污染控制标准》（GB 18599）《尾矿污染环境防治管理办法》，符合环评批复相关要求</w:t>
            </w:r>
          </w:p>
        </w:tc>
        <w:tc>
          <w:tcPr>
            <w:tcW w:w="919" w:type="dxa"/>
            <w:tcBorders>
              <w:top w:val="nil"/>
              <w:left w:val="nil"/>
              <w:bottom w:val="single" w:color="auto" w:sz="4" w:space="0"/>
              <w:right w:val="single" w:color="auto" w:sz="4" w:space="0"/>
            </w:tcBorders>
            <w:noWrap w:val="0"/>
            <w:vAlign w:val="center"/>
          </w:tcPr>
          <w:p w14:paraId="5122080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2440B64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0A01DF3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01FE76F">
        <w:tblPrEx>
          <w:tblCellMar>
            <w:top w:w="0" w:type="dxa"/>
            <w:left w:w="108" w:type="dxa"/>
            <w:bottom w:w="0" w:type="dxa"/>
            <w:right w:w="108" w:type="dxa"/>
          </w:tblCellMar>
        </w:tblPrEx>
        <w:trPr>
          <w:trHeight w:val="1224"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52CD96CB">
            <w:pPr>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14:paraId="19416B6F">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45CF3A0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18回收提取有价元素/有用矿物</w:t>
            </w:r>
          </w:p>
        </w:tc>
        <w:tc>
          <w:tcPr>
            <w:tcW w:w="975" w:type="dxa"/>
            <w:tcBorders>
              <w:top w:val="nil"/>
              <w:left w:val="nil"/>
              <w:bottom w:val="single" w:color="auto" w:sz="4" w:space="0"/>
              <w:right w:val="single" w:color="auto" w:sz="4" w:space="0"/>
            </w:tcBorders>
            <w:noWrap w:val="0"/>
            <w:vAlign w:val="center"/>
          </w:tcPr>
          <w:p w14:paraId="51A5010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59A8F757">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鼓励从已有尾矿、煤矸石、废石等固体废弃物中提取有价元素或有用矿物。符合要求得1分，不符合得0分。</w:t>
            </w:r>
          </w:p>
        </w:tc>
        <w:tc>
          <w:tcPr>
            <w:tcW w:w="913" w:type="dxa"/>
            <w:tcBorders>
              <w:top w:val="nil"/>
              <w:left w:val="nil"/>
              <w:bottom w:val="single" w:color="auto" w:sz="4" w:space="0"/>
              <w:right w:val="single" w:color="auto" w:sz="4" w:space="0"/>
            </w:tcBorders>
            <w:noWrap w:val="0"/>
            <w:vAlign w:val="center"/>
          </w:tcPr>
          <w:p w14:paraId="01CB1DD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417CDC1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生产报表、销售报表、财务报表等，符合环评批复相关要求</w:t>
            </w:r>
          </w:p>
        </w:tc>
        <w:tc>
          <w:tcPr>
            <w:tcW w:w="919" w:type="dxa"/>
            <w:tcBorders>
              <w:top w:val="nil"/>
              <w:left w:val="nil"/>
              <w:bottom w:val="single" w:color="auto" w:sz="4" w:space="0"/>
              <w:right w:val="single" w:color="auto" w:sz="4" w:space="0"/>
            </w:tcBorders>
            <w:noWrap w:val="0"/>
            <w:vAlign w:val="center"/>
          </w:tcPr>
          <w:p w14:paraId="1CB08CD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679A3C4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3F2B4CB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864F7EA">
        <w:tblPrEx>
          <w:tblCellMar>
            <w:top w:w="0" w:type="dxa"/>
            <w:left w:w="108" w:type="dxa"/>
            <w:bottom w:w="0" w:type="dxa"/>
            <w:right w:w="108" w:type="dxa"/>
          </w:tblCellMar>
        </w:tblPrEx>
        <w:trPr>
          <w:trHeight w:val="3070"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2E57B463">
            <w:pPr>
              <w:widowControl/>
              <w:adjustRightInd w:val="0"/>
              <w:snapToGrid w:val="0"/>
              <w:spacing w:line="240" w:lineRule="atLeast"/>
              <w:jc w:val="center"/>
              <w:rPr>
                <w:rFonts w:ascii="宋体" w:hAnsi="宋体" w:eastAsia="等线" w:cs="Calibri"/>
                <w:color w:val="000000"/>
                <w:kern w:val="0"/>
                <w:szCs w:val="21"/>
              </w:rPr>
            </w:pPr>
          </w:p>
        </w:tc>
        <w:tc>
          <w:tcPr>
            <w:tcW w:w="1185" w:type="dxa"/>
            <w:vMerge w:val="restart"/>
            <w:tcBorders>
              <w:top w:val="single" w:color="auto" w:sz="4" w:space="0"/>
              <w:left w:val="nil"/>
              <w:bottom w:val="single" w:color="auto" w:sz="4" w:space="0"/>
              <w:right w:val="single" w:color="auto" w:sz="4" w:space="0"/>
            </w:tcBorders>
            <w:noWrap w:val="0"/>
            <w:vAlign w:val="center"/>
          </w:tcPr>
          <w:p w14:paraId="3E40CC6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4废水综合利用（5分）</w:t>
            </w:r>
          </w:p>
          <w:p w14:paraId="224DD925">
            <w:pPr>
              <w:adjustRightInd w:val="0"/>
              <w:snapToGrid w:val="0"/>
              <w:spacing w:line="240" w:lineRule="atLeast"/>
              <w:jc w:val="center"/>
              <w:rPr>
                <w:rFonts w:hint="eastAsia" w:ascii="宋体" w:hAnsi="宋体" w:cs="宋体"/>
                <w:color w:val="000000"/>
                <w:kern w:val="0"/>
                <w:szCs w:val="21"/>
              </w:rPr>
            </w:pPr>
            <w:r>
              <w:rPr>
                <w:rFonts w:hint="eastAsia" w:ascii="宋体" w:hAnsi="宋体" w:eastAsia="等线" w:cs="宋体"/>
                <w:color w:val="000000"/>
                <w:kern w:val="0"/>
                <w:sz w:val="22"/>
              </w:rPr>
              <w:t>　</w:t>
            </w:r>
          </w:p>
        </w:tc>
        <w:tc>
          <w:tcPr>
            <w:tcW w:w="1245" w:type="dxa"/>
            <w:tcBorders>
              <w:top w:val="nil"/>
              <w:left w:val="nil"/>
              <w:bottom w:val="single" w:color="auto" w:sz="4" w:space="0"/>
              <w:right w:val="single" w:color="auto" w:sz="4" w:space="0"/>
            </w:tcBorders>
            <w:noWrap w:val="0"/>
            <w:vAlign w:val="center"/>
          </w:tcPr>
          <w:p w14:paraId="1C1F6DA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19生产废水综合利用</w:t>
            </w:r>
          </w:p>
        </w:tc>
        <w:tc>
          <w:tcPr>
            <w:tcW w:w="975" w:type="dxa"/>
            <w:tcBorders>
              <w:top w:val="nil"/>
              <w:left w:val="nil"/>
              <w:bottom w:val="single" w:color="auto" w:sz="4" w:space="0"/>
              <w:right w:val="single" w:color="auto" w:sz="4" w:space="0"/>
            </w:tcBorders>
            <w:noWrap w:val="0"/>
            <w:vAlign w:val="center"/>
          </w:tcPr>
          <w:p w14:paraId="7554338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w:t>
            </w:r>
          </w:p>
        </w:tc>
        <w:tc>
          <w:tcPr>
            <w:tcW w:w="4745" w:type="dxa"/>
            <w:tcBorders>
              <w:top w:val="nil"/>
              <w:left w:val="nil"/>
              <w:bottom w:val="single" w:color="auto" w:sz="4" w:space="0"/>
              <w:right w:val="single" w:color="auto" w:sz="4" w:space="0"/>
            </w:tcBorders>
            <w:noWrap w:val="0"/>
            <w:vAlign w:val="center"/>
          </w:tcPr>
          <w:p w14:paraId="303BFA78">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①配备完备的废水处理设施，并正常运行的得1分。</w:t>
            </w:r>
            <w:r>
              <w:rPr>
                <w:rFonts w:hint="eastAsia" w:ascii="宋体" w:hAnsi="宋体" w:cs="宋体"/>
                <w:color w:val="000000"/>
                <w:kern w:val="0"/>
                <w:szCs w:val="21"/>
              </w:rPr>
              <w:br w:type="textWrapping"/>
            </w:r>
            <w:r>
              <w:rPr>
                <w:rFonts w:hint="eastAsia" w:ascii="宋体" w:hAnsi="宋体" w:cs="宋体"/>
                <w:color w:val="000000"/>
                <w:kern w:val="0"/>
                <w:szCs w:val="21"/>
              </w:rPr>
              <w:t>②采用洁净化、资源化技术工艺合理处置矿井水、废水、尾水，得1分。煤矿、黄金等行业矿井水处置率达到100%，不达标不得分。</w:t>
            </w:r>
            <w:r>
              <w:rPr>
                <w:rFonts w:hint="eastAsia" w:ascii="宋体" w:hAnsi="宋体" w:cs="宋体"/>
                <w:color w:val="000000"/>
                <w:kern w:val="0"/>
                <w:szCs w:val="21"/>
              </w:rPr>
              <w:br w:type="textWrapping"/>
            </w:r>
            <w:r>
              <w:rPr>
                <w:rFonts w:hint="eastAsia" w:ascii="宋体" w:hAnsi="宋体" w:cs="宋体"/>
                <w:color w:val="000000"/>
                <w:kern w:val="0"/>
                <w:szCs w:val="21"/>
              </w:rPr>
              <w:t>③选矿废水循环利用，得1分。煤矿矿井水利用率达到相关标准，冶金选矿废水循环利用率不低于90%，非金属矿山选矿废水重复利用率不低于85%，化工行业选矿回水利用率达到100%，地热矿泉水尾废水集中处理达标后外排或回灌。不达标不得分。</w:t>
            </w:r>
          </w:p>
        </w:tc>
        <w:tc>
          <w:tcPr>
            <w:tcW w:w="913" w:type="dxa"/>
            <w:tcBorders>
              <w:top w:val="nil"/>
              <w:left w:val="nil"/>
              <w:bottom w:val="single" w:color="auto" w:sz="4" w:space="0"/>
              <w:right w:val="single" w:color="auto" w:sz="4" w:space="0"/>
            </w:tcBorders>
            <w:noWrap w:val="0"/>
            <w:vAlign w:val="center"/>
          </w:tcPr>
          <w:p w14:paraId="1AE33CB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238AEB1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《煤炭采选业清洁生产评价指标体系》（国家发展改革委、生态环境部、工业和信息化部，2019年发布），冶金、非金属、煤炭、化工行业绿色矿山建设规范，符合环评批复相关要求</w:t>
            </w:r>
          </w:p>
        </w:tc>
        <w:tc>
          <w:tcPr>
            <w:tcW w:w="919" w:type="dxa"/>
            <w:tcBorders>
              <w:top w:val="nil"/>
              <w:left w:val="nil"/>
              <w:bottom w:val="single" w:color="auto" w:sz="4" w:space="0"/>
              <w:right w:val="single" w:color="auto" w:sz="4" w:space="0"/>
            </w:tcBorders>
            <w:noWrap w:val="0"/>
            <w:vAlign w:val="center"/>
          </w:tcPr>
          <w:p w14:paraId="66295F3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3B39357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3C77D9A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355628F2">
        <w:tblPrEx>
          <w:tblCellMar>
            <w:top w:w="0" w:type="dxa"/>
            <w:left w:w="108" w:type="dxa"/>
            <w:bottom w:w="0" w:type="dxa"/>
            <w:right w:w="108" w:type="dxa"/>
          </w:tblCellMar>
        </w:tblPrEx>
        <w:trPr>
          <w:trHeight w:val="1496"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7EC3CE51">
            <w:pPr>
              <w:widowControl/>
              <w:adjustRightInd w:val="0"/>
              <w:snapToGrid w:val="0"/>
              <w:spacing w:line="240" w:lineRule="atLeast"/>
              <w:jc w:val="left"/>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654CEF66">
            <w:pPr>
              <w:widowControl/>
              <w:adjustRightInd w:val="0"/>
              <w:snapToGrid w:val="0"/>
              <w:spacing w:line="240" w:lineRule="atLeast"/>
              <w:jc w:val="center"/>
              <w:rPr>
                <w:rFonts w:hint="eastAsia" w:ascii="宋体" w:hAnsi="宋体" w:eastAsia="等线" w:cs="宋体"/>
                <w:color w:val="000000"/>
                <w:kern w:val="0"/>
                <w:sz w:val="22"/>
              </w:rPr>
            </w:pPr>
          </w:p>
        </w:tc>
        <w:tc>
          <w:tcPr>
            <w:tcW w:w="1245" w:type="dxa"/>
            <w:tcBorders>
              <w:top w:val="nil"/>
              <w:left w:val="nil"/>
              <w:bottom w:val="single" w:color="auto" w:sz="4" w:space="0"/>
              <w:right w:val="single" w:color="auto" w:sz="4" w:space="0"/>
            </w:tcBorders>
            <w:noWrap w:val="0"/>
            <w:vAlign w:val="center"/>
          </w:tcPr>
          <w:p w14:paraId="4E81440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20生活污水综合利用</w:t>
            </w:r>
          </w:p>
        </w:tc>
        <w:tc>
          <w:tcPr>
            <w:tcW w:w="975" w:type="dxa"/>
            <w:tcBorders>
              <w:top w:val="nil"/>
              <w:left w:val="nil"/>
              <w:bottom w:val="single" w:color="auto" w:sz="4" w:space="0"/>
              <w:right w:val="single" w:color="auto" w:sz="4" w:space="0"/>
            </w:tcBorders>
            <w:noWrap w:val="0"/>
            <w:vAlign w:val="center"/>
          </w:tcPr>
          <w:p w14:paraId="35FFA59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0098DFF6">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①配备生活污水处理系统，并正常运行的得1分；生活污水处置达标后，用于工业场地浇灌绿化、洒水降尘或其他综合利用，得1分。</w:t>
            </w:r>
            <w:r>
              <w:rPr>
                <w:rFonts w:hint="eastAsia" w:ascii="宋体" w:hAnsi="宋体" w:cs="宋体"/>
                <w:color w:val="000000"/>
                <w:kern w:val="0"/>
                <w:szCs w:val="21"/>
              </w:rPr>
              <w:br w:type="textWrapping"/>
            </w:r>
            <w:r>
              <w:rPr>
                <w:rFonts w:hint="eastAsia" w:ascii="宋体" w:hAnsi="宋体" w:cs="宋体"/>
                <w:color w:val="000000"/>
                <w:kern w:val="0"/>
                <w:szCs w:val="21"/>
              </w:rPr>
              <w:t>②企业生活污水直接连入城镇污水处理管网，得2分。</w:t>
            </w:r>
          </w:p>
        </w:tc>
        <w:tc>
          <w:tcPr>
            <w:tcW w:w="913" w:type="dxa"/>
            <w:tcBorders>
              <w:top w:val="nil"/>
              <w:left w:val="nil"/>
              <w:bottom w:val="single" w:color="auto" w:sz="4" w:space="0"/>
              <w:right w:val="single" w:color="auto" w:sz="4" w:space="0"/>
            </w:tcBorders>
            <w:noWrap w:val="0"/>
            <w:vAlign w:val="center"/>
          </w:tcPr>
          <w:p w14:paraId="6E57989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777874DC">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生产报表（调度报表）或其他证明材料，符合环评批复相关要求</w:t>
            </w:r>
          </w:p>
        </w:tc>
        <w:tc>
          <w:tcPr>
            <w:tcW w:w="919" w:type="dxa"/>
            <w:tcBorders>
              <w:top w:val="nil"/>
              <w:left w:val="nil"/>
              <w:bottom w:val="single" w:color="auto" w:sz="4" w:space="0"/>
              <w:right w:val="single" w:color="auto" w:sz="4" w:space="0"/>
            </w:tcBorders>
            <w:noWrap w:val="0"/>
            <w:vAlign w:val="center"/>
          </w:tcPr>
          <w:p w14:paraId="59C2FB9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16C7146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2B1280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6AF6637">
        <w:tblPrEx>
          <w:tblCellMar>
            <w:top w:w="0" w:type="dxa"/>
            <w:left w:w="108" w:type="dxa"/>
            <w:bottom w:w="0" w:type="dxa"/>
            <w:right w:w="108" w:type="dxa"/>
          </w:tblCellMar>
        </w:tblPrEx>
        <w:trPr>
          <w:trHeight w:val="280" w:hRule="atLeast"/>
          <w:jc w:val="center"/>
        </w:trPr>
        <w:tc>
          <w:tcPr>
            <w:tcW w:w="14924" w:type="dxa"/>
            <w:gridSpan w:val="10"/>
            <w:tcBorders>
              <w:top w:val="nil"/>
              <w:left w:val="single" w:color="auto" w:sz="4" w:space="0"/>
              <w:bottom w:val="single" w:color="auto" w:sz="4" w:space="0"/>
              <w:right w:val="single" w:color="auto" w:sz="4" w:space="0"/>
            </w:tcBorders>
            <w:noWrap w:val="0"/>
            <w:vAlign w:val="center"/>
          </w:tcPr>
          <w:p w14:paraId="36C03523">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（2）砂石、水泥灰岩、建筑石材等行业</w:t>
            </w:r>
          </w:p>
        </w:tc>
      </w:tr>
      <w:tr w14:paraId="1C019CD8">
        <w:tblPrEx>
          <w:tblCellMar>
            <w:top w:w="0" w:type="dxa"/>
            <w:left w:w="108" w:type="dxa"/>
            <w:bottom w:w="0" w:type="dxa"/>
            <w:right w:w="108" w:type="dxa"/>
          </w:tblCellMar>
        </w:tblPrEx>
        <w:trPr>
          <w:trHeight w:val="2518" w:hRule="atLeast"/>
          <w:jc w:val="center"/>
        </w:trPr>
        <w:tc>
          <w:tcPr>
            <w:tcW w:w="1188" w:type="dxa"/>
            <w:vMerge w:val="restart"/>
            <w:tcBorders>
              <w:top w:val="nil"/>
              <w:left w:val="single" w:color="auto" w:sz="4" w:space="0"/>
              <w:right w:val="single" w:color="auto" w:sz="4" w:space="0"/>
            </w:tcBorders>
            <w:noWrap w:val="0"/>
            <w:vAlign w:val="center"/>
          </w:tcPr>
          <w:p w14:paraId="26F55045">
            <w:pPr>
              <w:widowControl/>
              <w:adjustRightInd w:val="0"/>
              <w:snapToGrid w:val="0"/>
              <w:spacing w:line="240" w:lineRule="atLeast"/>
              <w:jc w:val="left"/>
              <w:rPr>
                <w:rFonts w:hint="eastAsia" w:ascii="宋体" w:hAnsi="宋体" w:cs="宋体"/>
                <w:color w:val="000000"/>
                <w:kern w:val="0"/>
                <w:szCs w:val="21"/>
              </w:rPr>
            </w:pPr>
            <w:r>
              <w:rPr>
                <w:rFonts w:hint="eastAsia" w:ascii="宋体" w:hAnsi="宋体" w:cs="宋体"/>
                <w:color w:val="000000"/>
                <w:kern w:val="0"/>
                <w:szCs w:val="21"/>
              </w:rPr>
              <w:t>三、资源综合利用（9项18分；4项18分）</w:t>
            </w:r>
          </w:p>
          <w:p w14:paraId="08128BC5">
            <w:pPr>
              <w:adjustRightInd w:val="0"/>
              <w:snapToGrid w:val="0"/>
              <w:spacing w:line="240" w:lineRule="atLeast"/>
              <w:jc w:val="center"/>
              <w:rPr>
                <w:rFonts w:ascii="宋体" w:hAnsi="宋体" w:eastAsia="等线" w:cs="Calibri"/>
                <w:color w:val="000000"/>
                <w:kern w:val="0"/>
                <w:szCs w:val="21"/>
              </w:rPr>
            </w:pPr>
          </w:p>
        </w:tc>
        <w:tc>
          <w:tcPr>
            <w:tcW w:w="1185" w:type="dxa"/>
            <w:tcBorders>
              <w:top w:val="nil"/>
              <w:left w:val="nil"/>
              <w:bottom w:val="single" w:color="auto" w:sz="4" w:space="0"/>
              <w:right w:val="single" w:color="auto" w:sz="4" w:space="0"/>
            </w:tcBorders>
            <w:noWrap w:val="0"/>
            <w:vAlign w:val="center"/>
          </w:tcPr>
          <w:p w14:paraId="3ACBE07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1综合利用（5分）</w:t>
            </w:r>
          </w:p>
        </w:tc>
        <w:tc>
          <w:tcPr>
            <w:tcW w:w="1245" w:type="dxa"/>
            <w:tcBorders>
              <w:top w:val="nil"/>
              <w:left w:val="nil"/>
              <w:bottom w:val="single" w:color="auto" w:sz="4" w:space="0"/>
              <w:right w:val="single" w:color="auto" w:sz="4" w:space="0"/>
            </w:tcBorders>
            <w:noWrap w:val="0"/>
            <w:vAlign w:val="center"/>
          </w:tcPr>
          <w:p w14:paraId="21FDF69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21开采加工等相关产物综合利用</w:t>
            </w:r>
          </w:p>
        </w:tc>
        <w:tc>
          <w:tcPr>
            <w:tcW w:w="975" w:type="dxa"/>
            <w:tcBorders>
              <w:top w:val="nil"/>
              <w:left w:val="nil"/>
              <w:bottom w:val="single" w:color="auto" w:sz="4" w:space="0"/>
              <w:right w:val="single" w:color="auto" w:sz="4" w:space="0"/>
            </w:tcBorders>
            <w:noWrap w:val="0"/>
            <w:vAlign w:val="center"/>
          </w:tcPr>
          <w:p w14:paraId="75134B4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w:t>
            </w:r>
          </w:p>
        </w:tc>
        <w:tc>
          <w:tcPr>
            <w:tcW w:w="4745" w:type="dxa"/>
            <w:tcBorders>
              <w:top w:val="nil"/>
              <w:left w:val="nil"/>
              <w:bottom w:val="single" w:color="auto" w:sz="4" w:space="0"/>
              <w:right w:val="single" w:color="auto" w:sz="4" w:space="0"/>
            </w:tcBorders>
            <w:noWrap w:val="0"/>
            <w:vAlign w:val="center"/>
          </w:tcPr>
          <w:p w14:paraId="06C7B72D">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★适用于砂石、建筑石材等行业：</w:t>
            </w:r>
          </w:p>
          <w:p w14:paraId="3E17A3D7">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充分利用石粉、泥粉等矿山开采或加工产物，提高资源化利用水平，如环境治理、土地复垦和土壤改良等。符合要求得5分。</w:t>
            </w:r>
          </w:p>
          <w:p w14:paraId="34AD7E5D">
            <w:pPr>
              <w:widowControl/>
              <w:adjustRightInd w:val="0"/>
              <w:snapToGrid w:val="0"/>
              <w:spacing w:line="240" w:lineRule="atLeast"/>
              <w:jc w:val="both"/>
              <w:rPr>
                <w:rFonts w:ascii="宋体" w:hAnsi="宋体" w:cs="宋体"/>
                <w:color w:val="000000"/>
                <w:kern w:val="0"/>
                <w:szCs w:val="21"/>
              </w:rPr>
            </w:pPr>
            <w:r>
              <w:rPr>
                <w:rFonts w:hint="eastAsia" w:ascii="宋体" w:hAnsi="宋体" w:cs="宋体"/>
                <w:color w:val="000000"/>
                <w:kern w:val="0"/>
                <w:szCs w:val="21"/>
              </w:rPr>
              <w:t>★适用于水泥灰岩行业：</w:t>
            </w:r>
          </w:p>
          <w:p w14:paraId="14EC69D2">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结合水泥生产线多种原料配料的特点，实现开采或加工生产各类产物资源化利用，实现资源分级利用、优质优用，实现高品位矿石与低品位矿石、夹层、顶底板围岩等综合利用。符合要求得5分。</w:t>
            </w:r>
          </w:p>
        </w:tc>
        <w:tc>
          <w:tcPr>
            <w:tcW w:w="913" w:type="dxa"/>
            <w:tcBorders>
              <w:top w:val="nil"/>
              <w:left w:val="nil"/>
              <w:bottom w:val="single" w:color="auto" w:sz="4" w:space="0"/>
              <w:right w:val="single" w:color="auto" w:sz="4" w:space="0"/>
            </w:tcBorders>
            <w:noWrap w:val="0"/>
            <w:vAlign w:val="center"/>
          </w:tcPr>
          <w:p w14:paraId="08EE028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40A32A2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生产报表（调度报表）或其他证明材料，符合环评批复相关要求</w:t>
            </w:r>
          </w:p>
        </w:tc>
        <w:tc>
          <w:tcPr>
            <w:tcW w:w="919" w:type="dxa"/>
            <w:tcBorders>
              <w:top w:val="nil"/>
              <w:left w:val="nil"/>
              <w:bottom w:val="single" w:color="auto" w:sz="4" w:space="0"/>
              <w:right w:val="single" w:color="auto" w:sz="4" w:space="0"/>
            </w:tcBorders>
            <w:noWrap w:val="0"/>
            <w:vAlign w:val="center"/>
          </w:tcPr>
          <w:p w14:paraId="0A4DDED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246318F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F31782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B454500">
        <w:tblPrEx>
          <w:tblCellMar>
            <w:top w:w="0" w:type="dxa"/>
            <w:left w:w="108" w:type="dxa"/>
            <w:bottom w:w="0" w:type="dxa"/>
            <w:right w:w="108" w:type="dxa"/>
          </w:tblCellMar>
        </w:tblPrEx>
        <w:trPr>
          <w:trHeight w:val="2278" w:hRule="atLeast"/>
          <w:jc w:val="center"/>
        </w:trPr>
        <w:tc>
          <w:tcPr>
            <w:tcW w:w="1188" w:type="dxa"/>
            <w:vMerge w:val="continue"/>
            <w:tcBorders>
              <w:left w:val="single" w:color="auto" w:sz="4" w:space="0"/>
              <w:right w:val="single" w:color="auto" w:sz="4" w:space="0"/>
            </w:tcBorders>
            <w:noWrap w:val="0"/>
            <w:vAlign w:val="center"/>
          </w:tcPr>
          <w:p w14:paraId="5DC9C56B">
            <w:pPr>
              <w:adjustRightInd w:val="0"/>
              <w:snapToGrid w:val="0"/>
              <w:spacing w:line="240" w:lineRule="atLeast"/>
              <w:jc w:val="center"/>
              <w:rPr>
                <w:rFonts w:ascii="宋体" w:hAnsi="宋体" w:eastAsia="等线" w:cs="Calibri"/>
                <w:color w:val="000000"/>
                <w:kern w:val="0"/>
                <w:szCs w:val="21"/>
              </w:rPr>
            </w:pPr>
          </w:p>
        </w:tc>
        <w:tc>
          <w:tcPr>
            <w:tcW w:w="1185" w:type="dxa"/>
            <w:tcBorders>
              <w:top w:val="nil"/>
              <w:left w:val="nil"/>
              <w:bottom w:val="single" w:color="auto" w:sz="4" w:space="0"/>
              <w:right w:val="single" w:color="auto" w:sz="4" w:space="0"/>
            </w:tcBorders>
            <w:noWrap w:val="0"/>
            <w:vAlign w:val="center"/>
          </w:tcPr>
          <w:p w14:paraId="67261CD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2固废综合利用（5分）</w:t>
            </w:r>
          </w:p>
        </w:tc>
        <w:tc>
          <w:tcPr>
            <w:tcW w:w="1245" w:type="dxa"/>
            <w:tcBorders>
              <w:top w:val="nil"/>
              <w:left w:val="nil"/>
              <w:bottom w:val="single" w:color="auto" w:sz="4" w:space="0"/>
              <w:right w:val="single" w:color="auto" w:sz="4" w:space="0"/>
            </w:tcBorders>
            <w:noWrap w:val="0"/>
            <w:vAlign w:val="center"/>
          </w:tcPr>
          <w:p w14:paraId="02C416E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22土质剥离物的综合利用</w:t>
            </w:r>
          </w:p>
        </w:tc>
        <w:tc>
          <w:tcPr>
            <w:tcW w:w="975" w:type="dxa"/>
            <w:tcBorders>
              <w:top w:val="nil"/>
              <w:left w:val="nil"/>
              <w:bottom w:val="single" w:color="auto" w:sz="4" w:space="0"/>
              <w:right w:val="single" w:color="auto" w:sz="4" w:space="0"/>
            </w:tcBorders>
            <w:noWrap w:val="0"/>
            <w:vAlign w:val="center"/>
          </w:tcPr>
          <w:p w14:paraId="3601EA2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w:t>
            </w:r>
          </w:p>
        </w:tc>
        <w:tc>
          <w:tcPr>
            <w:tcW w:w="4745" w:type="dxa"/>
            <w:tcBorders>
              <w:top w:val="nil"/>
              <w:left w:val="nil"/>
              <w:bottom w:val="single" w:color="auto" w:sz="4" w:space="0"/>
              <w:right w:val="single" w:color="auto" w:sz="4" w:space="0"/>
            </w:tcBorders>
            <w:noWrap w:val="0"/>
            <w:vAlign w:val="center"/>
          </w:tcPr>
          <w:p w14:paraId="10B1CD4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★适用于砂石、建筑石材等行业：</w:t>
            </w:r>
            <w:r>
              <w:rPr>
                <w:rFonts w:hint="eastAsia" w:ascii="宋体" w:hAnsi="宋体" w:cs="宋体"/>
                <w:color w:val="000000"/>
                <w:kern w:val="0"/>
                <w:szCs w:val="21"/>
              </w:rPr>
              <w:br w:type="textWrapping"/>
            </w:r>
            <w:r>
              <w:rPr>
                <w:rFonts w:hint="eastAsia" w:ascii="宋体" w:hAnsi="宋体" w:cs="宋体"/>
                <w:color w:val="000000"/>
                <w:kern w:val="0"/>
                <w:szCs w:val="21"/>
              </w:rPr>
              <w:t>排土场堆放的剥离表土或筛分后的碴土、废石等，用于环境治理、土地复垦、生态修复等。符合要求得5分。</w:t>
            </w:r>
            <w:r>
              <w:rPr>
                <w:rFonts w:hint="eastAsia" w:ascii="宋体" w:hAnsi="宋体" w:cs="宋体"/>
                <w:color w:val="000000"/>
                <w:kern w:val="0"/>
                <w:szCs w:val="21"/>
              </w:rPr>
              <w:br w:type="textWrapping"/>
            </w:r>
            <w:r>
              <w:rPr>
                <w:rFonts w:hint="eastAsia" w:ascii="宋体" w:hAnsi="宋体" w:cs="宋体"/>
                <w:color w:val="000000"/>
                <w:kern w:val="0"/>
                <w:szCs w:val="21"/>
              </w:rPr>
              <w:t>★适用于水泥灰岩行业：</w:t>
            </w:r>
            <w:r>
              <w:rPr>
                <w:rFonts w:hint="eastAsia" w:ascii="宋体" w:hAnsi="宋体" w:cs="宋体"/>
                <w:color w:val="000000"/>
                <w:kern w:val="0"/>
                <w:szCs w:val="21"/>
              </w:rPr>
              <w:br w:type="textWrapping"/>
            </w:r>
            <w:r>
              <w:rPr>
                <w:rFonts w:hint="eastAsia" w:ascii="宋体" w:hAnsi="宋体" w:cs="宋体"/>
                <w:color w:val="000000"/>
                <w:kern w:val="0"/>
                <w:szCs w:val="21"/>
              </w:rPr>
              <w:t>将符合要求的土质剥离物用作硅铝质原料或用于土地复垦，其他剥离物用作水泥配料、砂石骨料或其他工程用料。符合要求得5分。</w:t>
            </w:r>
          </w:p>
        </w:tc>
        <w:tc>
          <w:tcPr>
            <w:tcW w:w="913" w:type="dxa"/>
            <w:tcBorders>
              <w:top w:val="nil"/>
              <w:left w:val="nil"/>
              <w:bottom w:val="single" w:color="auto" w:sz="4" w:space="0"/>
              <w:right w:val="single" w:color="auto" w:sz="4" w:space="0"/>
            </w:tcBorders>
            <w:noWrap w:val="0"/>
            <w:vAlign w:val="center"/>
          </w:tcPr>
          <w:p w14:paraId="7CDB0F4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4B7BB6E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生产报表（调度报表）或其他证明材料，符合环评批复相关要求</w:t>
            </w:r>
          </w:p>
        </w:tc>
        <w:tc>
          <w:tcPr>
            <w:tcW w:w="919" w:type="dxa"/>
            <w:tcBorders>
              <w:top w:val="nil"/>
              <w:left w:val="nil"/>
              <w:bottom w:val="single" w:color="auto" w:sz="4" w:space="0"/>
              <w:right w:val="single" w:color="auto" w:sz="4" w:space="0"/>
            </w:tcBorders>
            <w:noWrap w:val="0"/>
            <w:vAlign w:val="center"/>
          </w:tcPr>
          <w:p w14:paraId="64C8EE7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64AC1AA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522904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981637D">
        <w:tblPrEx>
          <w:tblCellMar>
            <w:top w:w="0" w:type="dxa"/>
            <w:left w:w="108" w:type="dxa"/>
            <w:bottom w:w="0" w:type="dxa"/>
            <w:right w:w="108" w:type="dxa"/>
          </w:tblCellMar>
        </w:tblPrEx>
        <w:trPr>
          <w:trHeight w:val="668" w:hRule="atLeast"/>
          <w:jc w:val="center"/>
        </w:trPr>
        <w:tc>
          <w:tcPr>
            <w:tcW w:w="1188" w:type="dxa"/>
            <w:vMerge w:val="continue"/>
            <w:tcBorders>
              <w:left w:val="single" w:color="auto" w:sz="4" w:space="0"/>
              <w:right w:val="single" w:color="auto" w:sz="4" w:space="0"/>
            </w:tcBorders>
            <w:noWrap w:val="0"/>
            <w:vAlign w:val="center"/>
          </w:tcPr>
          <w:p w14:paraId="2D555BA9">
            <w:pPr>
              <w:widowControl/>
              <w:adjustRightInd w:val="0"/>
              <w:snapToGrid w:val="0"/>
              <w:spacing w:line="240" w:lineRule="atLeast"/>
              <w:jc w:val="center"/>
              <w:rPr>
                <w:rFonts w:ascii="宋体" w:hAnsi="宋体" w:eastAsia="等线" w:cs="Calibri"/>
                <w:color w:val="000000"/>
                <w:kern w:val="0"/>
                <w:szCs w:val="21"/>
              </w:rPr>
            </w:pPr>
          </w:p>
        </w:tc>
        <w:tc>
          <w:tcPr>
            <w:tcW w:w="1185" w:type="dxa"/>
            <w:vMerge w:val="restart"/>
            <w:tcBorders>
              <w:top w:val="nil"/>
              <w:left w:val="single" w:color="auto" w:sz="4" w:space="0"/>
              <w:bottom w:val="single" w:color="auto" w:sz="4" w:space="0"/>
              <w:right w:val="single" w:color="auto" w:sz="4" w:space="0"/>
            </w:tcBorders>
            <w:noWrap w:val="0"/>
            <w:vAlign w:val="center"/>
          </w:tcPr>
          <w:p w14:paraId="3F4F821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3废水综合利用（8分）</w:t>
            </w:r>
          </w:p>
        </w:tc>
        <w:tc>
          <w:tcPr>
            <w:tcW w:w="1245" w:type="dxa"/>
            <w:tcBorders>
              <w:top w:val="nil"/>
              <w:left w:val="nil"/>
              <w:bottom w:val="single" w:color="auto" w:sz="4" w:space="0"/>
              <w:right w:val="single" w:color="auto" w:sz="4" w:space="0"/>
            </w:tcBorders>
            <w:noWrap w:val="0"/>
            <w:vAlign w:val="center"/>
          </w:tcPr>
          <w:p w14:paraId="32E9CD5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23生产废水处置与利用</w:t>
            </w:r>
          </w:p>
        </w:tc>
        <w:tc>
          <w:tcPr>
            <w:tcW w:w="975" w:type="dxa"/>
            <w:tcBorders>
              <w:top w:val="nil"/>
              <w:left w:val="nil"/>
              <w:bottom w:val="single" w:color="auto" w:sz="4" w:space="0"/>
              <w:right w:val="single" w:color="auto" w:sz="4" w:space="0"/>
            </w:tcBorders>
            <w:noWrap w:val="0"/>
            <w:vAlign w:val="center"/>
          </w:tcPr>
          <w:p w14:paraId="1453A2B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w:t>
            </w:r>
          </w:p>
        </w:tc>
        <w:tc>
          <w:tcPr>
            <w:tcW w:w="4745" w:type="dxa"/>
            <w:tcBorders>
              <w:top w:val="nil"/>
              <w:left w:val="nil"/>
              <w:bottom w:val="single" w:color="auto" w:sz="4" w:space="0"/>
              <w:right w:val="single" w:color="auto" w:sz="4" w:space="0"/>
            </w:tcBorders>
            <w:noWrap w:val="0"/>
            <w:vAlign w:val="center"/>
          </w:tcPr>
          <w:p w14:paraId="5FA8DAEA">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①配备完善的生产废水处理系统，并正常运行的得2分；</w:t>
            </w:r>
            <w:r>
              <w:rPr>
                <w:rFonts w:hint="eastAsia" w:ascii="宋体" w:hAnsi="宋体" w:cs="宋体"/>
                <w:color w:val="000000"/>
                <w:kern w:val="0"/>
                <w:szCs w:val="21"/>
              </w:rPr>
              <w:br w:type="textWrapping"/>
            </w:r>
            <w:r>
              <w:rPr>
                <w:rFonts w:hint="eastAsia" w:ascii="宋体" w:hAnsi="宋体" w:cs="宋体"/>
                <w:color w:val="000000"/>
                <w:kern w:val="0"/>
                <w:szCs w:val="21"/>
              </w:rPr>
              <w:t>②废水经固液分离处理后，清水得到有效循环利用，得2分。砂石清水循环利用率达到100%，不达标不得分。</w:t>
            </w:r>
          </w:p>
        </w:tc>
        <w:tc>
          <w:tcPr>
            <w:tcW w:w="913" w:type="dxa"/>
            <w:tcBorders>
              <w:top w:val="nil"/>
              <w:left w:val="nil"/>
              <w:bottom w:val="single" w:color="auto" w:sz="4" w:space="0"/>
              <w:right w:val="single" w:color="auto" w:sz="4" w:space="0"/>
            </w:tcBorders>
            <w:noWrap w:val="0"/>
            <w:vAlign w:val="center"/>
          </w:tcPr>
          <w:p w14:paraId="10314F9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6528EE0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生产报表（调度报表）或其他证明材料，砂石行业绿色矿山建设规范，符合环评批复相关要求</w:t>
            </w:r>
          </w:p>
        </w:tc>
        <w:tc>
          <w:tcPr>
            <w:tcW w:w="919" w:type="dxa"/>
            <w:tcBorders>
              <w:top w:val="nil"/>
              <w:left w:val="nil"/>
              <w:bottom w:val="single" w:color="auto" w:sz="4" w:space="0"/>
              <w:right w:val="single" w:color="auto" w:sz="4" w:space="0"/>
            </w:tcBorders>
            <w:noWrap w:val="0"/>
            <w:vAlign w:val="center"/>
          </w:tcPr>
          <w:p w14:paraId="72ECB93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3825DCC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462F288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36B40D48">
        <w:tblPrEx>
          <w:tblCellMar>
            <w:top w:w="0" w:type="dxa"/>
            <w:left w:w="108" w:type="dxa"/>
            <w:bottom w:w="0" w:type="dxa"/>
            <w:right w:w="108" w:type="dxa"/>
          </w:tblCellMar>
        </w:tblPrEx>
        <w:trPr>
          <w:trHeight w:val="952" w:hRule="atLeast"/>
          <w:jc w:val="center"/>
        </w:trPr>
        <w:tc>
          <w:tcPr>
            <w:tcW w:w="1188" w:type="dxa"/>
            <w:vMerge w:val="continue"/>
            <w:tcBorders>
              <w:left w:val="single" w:color="auto" w:sz="4" w:space="0"/>
              <w:bottom w:val="single" w:color="auto" w:sz="4" w:space="0"/>
              <w:right w:val="single" w:color="auto" w:sz="4" w:space="0"/>
            </w:tcBorders>
            <w:noWrap w:val="0"/>
            <w:vAlign w:val="center"/>
          </w:tcPr>
          <w:p w14:paraId="6547AF8B">
            <w:pPr>
              <w:widowControl/>
              <w:adjustRightInd w:val="0"/>
              <w:snapToGrid w:val="0"/>
              <w:spacing w:line="240" w:lineRule="atLeast"/>
              <w:jc w:val="left"/>
              <w:rPr>
                <w:rFonts w:ascii="宋体" w:hAnsi="宋体" w:eastAsia="等线" w:cs="Calibri"/>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43F8DE22">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72696DA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24生活污水综合利用</w:t>
            </w:r>
          </w:p>
        </w:tc>
        <w:tc>
          <w:tcPr>
            <w:tcW w:w="975" w:type="dxa"/>
            <w:tcBorders>
              <w:top w:val="nil"/>
              <w:left w:val="nil"/>
              <w:bottom w:val="single" w:color="auto" w:sz="4" w:space="0"/>
              <w:right w:val="single" w:color="auto" w:sz="4" w:space="0"/>
            </w:tcBorders>
            <w:noWrap w:val="0"/>
            <w:vAlign w:val="center"/>
          </w:tcPr>
          <w:p w14:paraId="6B1F532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w:t>
            </w:r>
          </w:p>
        </w:tc>
        <w:tc>
          <w:tcPr>
            <w:tcW w:w="4745" w:type="dxa"/>
            <w:tcBorders>
              <w:top w:val="nil"/>
              <w:left w:val="nil"/>
              <w:bottom w:val="single" w:color="auto" w:sz="4" w:space="0"/>
              <w:right w:val="single" w:color="auto" w:sz="4" w:space="0"/>
            </w:tcBorders>
            <w:noWrap w:val="0"/>
            <w:vAlign w:val="center"/>
          </w:tcPr>
          <w:p w14:paraId="12684F17">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①配备生活污水处理系统，并正常运行的得2分；生活污水处置达标后，用于工业场地浇灌绿化，洒水降尘或其他综合利用，得2分。</w:t>
            </w:r>
            <w:r>
              <w:rPr>
                <w:rFonts w:hint="eastAsia" w:ascii="宋体" w:hAnsi="宋体" w:cs="宋体"/>
                <w:color w:val="000000"/>
                <w:kern w:val="0"/>
                <w:szCs w:val="21"/>
              </w:rPr>
              <w:br w:type="textWrapping"/>
            </w:r>
            <w:r>
              <w:rPr>
                <w:rFonts w:hint="eastAsia" w:ascii="宋体" w:hAnsi="宋体" w:cs="宋体"/>
                <w:color w:val="000000"/>
                <w:kern w:val="0"/>
                <w:szCs w:val="21"/>
              </w:rPr>
              <w:t>②企业生活污水直接连入城镇污水处理管网，得4分。</w:t>
            </w:r>
          </w:p>
        </w:tc>
        <w:tc>
          <w:tcPr>
            <w:tcW w:w="913" w:type="dxa"/>
            <w:tcBorders>
              <w:top w:val="nil"/>
              <w:left w:val="nil"/>
              <w:bottom w:val="single" w:color="auto" w:sz="4" w:space="0"/>
              <w:right w:val="single" w:color="auto" w:sz="4" w:space="0"/>
            </w:tcBorders>
            <w:noWrap w:val="0"/>
            <w:vAlign w:val="center"/>
          </w:tcPr>
          <w:p w14:paraId="320B6B7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6BBF560F">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生产报表（调度报表）或其他证明材料，符合环评批复相关要求</w:t>
            </w:r>
          </w:p>
        </w:tc>
        <w:tc>
          <w:tcPr>
            <w:tcW w:w="919" w:type="dxa"/>
            <w:tcBorders>
              <w:top w:val="nil"/>
              <w:left w:val="nil"/>
              <w:bottom w:val="single" w:color="auto" w:sz="4" w:space="0"/>
              <w:right w:val="single" w:color="auto" w:sz="4" w:space="0"/>
            </w:tcBorders>
            <w:noWrap w:val="0"/>
            <w:vAlign w:val="center"/>
          </w:tcPr>
          <w:p w14:paraId="6963C99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4B4BCC2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581CD72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5401881A">
        <w:tblPrEx>
          <w:tblCellMar>
            <w:top w:w="0" w:type="dxa"/>
            <w:left w:w="108" w:type="dxa"/>
            <w:bottom w:w="0" w:type="dxa"/>
            <w:right w:w="108" w:type="dxa"/>
          </w:tblCellMar>
        </w:tblPrEx>
        <w:trPr>
          <w:trHeight w:val="2641" w:hRule="atLeast"/>
          <w:jc w:val="center"/>
        </w:trPr>
        <w:tc>
          <w:tcPr>
            <w:tcW w:w="1188" w:type="dxa"/>
            <w:vMerge w:val="restart"/>
            <w:tcBorders>
              <w:top w:val="nil"/>
              <w:left w:val="single" w:color="auto" w:sz="4" w:space="0"/>
              <w:right w:val="single" w:color="auto" w:sz="4" w:space="0"/>
            </w:tcBorders>
            <w:noWrap w:val="0"/>
            <w:vAlign w:val="center"/>
          </w:tcPr>
          <w:p w14:paraId="1AB98E10">
            <w:pPr>
              <w:widowControl/>
              <w:adjustRightInd w:val="0"/>
              <w:snapToGrid w:val="0"/>
              <w:spacing w:line="240" w:lineRule="atLeast"/>
              <w:jc w:val="center"/>
              <w:rPr>
                <w:rFonts w:ascii="宋体" w:hAnsi="宋体" w:eastAsia="等线" w:cs="Calibri"/>
                <w:color w:val="000000"/>
                <w:kern w:val="0"/>
                <w:szCs w:val="21"/>
              </w:rPr>
            </w:pPr>
            <w:r>
              <w:rPr>
                <w:rFonts w:hint="eastAsia" w:ascii="宋体" w:hAnsi="宋体" w:cs="Calibri"/>
                <w:color w:val="000000"/>
                <w:kern w:val="0"/>
                <w:szCs w:val="21"/>
              </w:rPr>
              <w:t>四、绿色低碳（</w:t>
            </w:r>
            <w:r>
              <w:rPr>
                <w:rFonts w:ascii="宋体" w:hAnsi="宋体" w:eastAsia="等线" w:cs="Calibri"/>
                <w:color w:val="000000"/>
                <w:kern w:val="0"/>
                <w:szCs w:val="21"/>
              </w:rPr>
              <w:t>13</w:t>
            </w:r>
            <w:r>
              <w:rPr>
                <w:rFonts w:hint="eastAsia" w:ascii="宋体" w:hAnsi="宋体" w:cs="Calibri"/>
                <w:color w:val="000000"/>
                <w:kern w:val="0"/>
                <w:szCs w:val="21"/>
              </w:rPr>
              <w:t>项，</w:t>
            </w:r>
            <w:r>
              <w:rPr>
                <w:rFonts w:ascii="宋体" w:hAnsi="宋体" w:eastAsia="等线" w:cs="Calibri"/>
                <w:color w:val="000000"/>
                <w:kern w:val="0"/>
                <w:szCs w:val="21"/>
              </w:rPr>
              <w:t>20</w:t>
            </w:r>
            <w:r>
              <w:rPr>
                <w:rFonts w:hint="eastAsia" w:ascii="宋体" w:hAnsi="宋体" w:cs="Calibri"/>
                <w:color w:val="000000"/>
                <w:kern w:val="0"/>
                <w:szCs w:val="21"/>
              </w:rPr>
              <w:t>分）</w:t>
            </w:r>
          </w:p>
        </w:tc>
        <w:tc>
          <w:tcPr>
            <w:tcW w:w="1185" w:type="dxa"/>
            <w:tcBorders>
              <w:top w:val="nil"/>
              <w:left w:val="nil"/>
              <w:bottom w:val="single" w:color="auto" w:sz="4" w:space="0"/>
              <w:right w:val="single" w:color="auto" w:sz="4" w:space="0"/>
            </w:tcBorders>
            <w:noWrap w:val="0"/>
            <w:vAlign w:val="center"/>
          </w:tcPr>
          <w:p w14:paraId="5843777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1节约集约用地（2分）</w:t>
            </w:r>
          </w:p>
        </w:tc>
        <w:tc>
          <w:tcPr>
            <w:tcW w:w="1245" w:type="dxa"/>
            <w:tcBorders>
              <w:top w:val="nil"/>
              <w:left w:val="nil"/>
              <w:bottom w:val="single" w:color="auto" w:sz="4" w:space="0"/>
              <w:right w:val="single" w:color="auto" w:sz="4" w:space="0"/>
            </w:tcBorders>
            <w:noWrap w:val="0"/>
            <w:vAlign w:val="center"/>
          </w:tcPr>
          <w:p w14:paraId="30DC285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25节约集约用地情况</w:t>
            </w:r>
          </w:p>
        </w:tc>
        <w:tc>
          <w:tcPr>
            <w:tcW w:w="975" w:type="dxa"/>
            <w:tcBorders>
              <w:top w:val="nil"/>
              <w:left w:val="nil"/>
              <w:bottom w:val="single" w:color="auto" w:sz="4" w:space="0"/>
              <w:right w:val="single" w:color="auto" w:sz="4" w:space="0"/>
            </w:tcBorders>
            <w:noWrap w:val="0"/>
            <w:vAlign w:val="center"/>
          </w:tcPr>
          <w:p w14:paraId="2CE499B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341C05E7">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矿山用地在满足建设、运输生产等要求前提下，综合考虑土地资源、资金、环境等经济技术条件，按照节约集约原则，进行优化配置和科学利用，充分利用荒地、劣地，少占耕地。符合要求得2分，不符合得0分。</w:t>
            </w:r>
          </w:p>
        </w:tc>
        <w:tc>
          <w:tcPr>
            <w:tcW w:w="913" w:type="dxa"/>
            <w:tcBorders>
              <w:top w:val="nil"/>
              <w:left w:val="nil"/>
              <w:bottom w:val="single" w:color="auto" w:sz="4" w:space="0"/>
              <w:right w:val="single" w:color="auto" w:sz="4" w:space="0"/>
            </w:tcBorders>
            <w:noWrap w:val="0"/>
            <w:vAlign w:val="center"/>
          </w:tcPr>
          <w:p w14:paraId="2F46EAA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4265E5C4">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《节约集约利用土地规定（2019年修正）》《工业项目用地控制指标》《自然资源部办公厅关于规范开展建设项目节地评价工作的通知》（自然资办发〔2021〕14号）</w:t>
            </w:r>
          </w:p>
        </w:tc>
        <w:tc>
          <w:tcPr>
            <w:tcW w:w="919" w:type="dxa"/>
            <w:tcBorders>
              <w:top w:val="nil"/>
              <w:left w:val="nil"/>
              <w:bottom w:val="single" w:color="auto" w:sz="4" w:space="0"/>
              <w:right w:val="single" w:color="auto" w:sz="4" w:space="0"/>
            </w:tcBorders>
            <w:noWrap w:val="0"/>
            <w:vAlign w:val="center"/>
          </w:tcPr>
          <w:p w14:paraId="27AFDFE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73A6140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3D98D71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524570B">
        <w:tblPrEx>
          <w:tblCellMar>
            <w:top w:w="0" w:type="dxa"/>
            <w:left w:w="108" w:type="dxa"/>
            <w:bottom w:w="0" w:type="dxa"/>
            <w:right w:w="108" w:type="dxa"/>
          </w:tblCellMar>
        </w:tblPrEx>
        <w:trPr>
          <w:trHeight w:val="1167" w:hRule="atLeast"/>
          <w:jc w:val="center"/>
        </w:trPr>
        <w:tc>
          <w:tcPr>
            <w:tcW w:w="1188" w:type="dxa"/>
            <w:vMerge w:val="continue"/>
            <w:tcBorders>
              <w:left w:val="single" w:color="auto" w:sz="4" w:space="0"/>
              <w:right w:val="single" w:color="auto" w:sz="4" w:space="0"/>
            </w:tcBorders>
            <w:noWrap w:val="0"/>
            <w:vAlign w:val="center"/>
          </w:tcPr>
          <w:p w14:paraId="1EF9CE7F">
            <w:pPr>
              <w:adjustRightInd w:val="0"/>
              <w:snapToGrid w:val="0"/>
              <w:spacing w:line="240" w:lineRule="atLeast"/>
              <w:jc w:val="center"/>
              <w:rPr>
                <w:rFonts w:hint="eastAsia" w:ascii="宋体" w:hAnsi="宋体" w:cs="宋体"/>
                <w:color w:val="000000"/>
                <w:kern w:val="0"/>
                <w:szCs w:val="21"/>
              </w:rPr>
            </w:pPr>
          </w:p>
        </w:tc>
        <w:tc>
          <w:tcPr>
            <w:tcW w:w="1185" w:type="dxa"/>
            <w:vMerge w:val="restart"/>
            <w:tcBorders>
              <w:top w:val="nil"/>
              <w:left w:val="single" w:color="auto" w:sz="4" w:space="0"/>
              <w:bottom w:val="single" w:color="auto" w:sz="4" w:space="0"/>
              <w:right w:val="single" w:color="auto" w:sz="4" w:space="0"/>
            </w:tcBorders>
            <w:noWrap w:val="0"/>
            <w:vAlign w:val="center"/>
          </w:tcPr>
          <w:p w14:paraId="3652FB5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2节能降耗（3分）</w:t>
            </w:r>
          </w:p>
        </w:tc>
        <w:tc>
          <w:tcPr>
            <w:tcW w:w="1245" w:type="dxa"/>
            <w:tcBorders>
              <w:top w:val="nil"/>
              <w:left w:val="nil"/>
              <w:bottom w:val="single" w:color="auto" w:sz="4" w:space="0"/>
              <w:right w:val="single" w:color="auto" w:sz="4" w:space="0"/>
            </w:tcBorders>
            <w:noWrap w:val="0"/>
            <w:vAlign w:val="center"/>
          </w:tcPr>
          <w:p w14:paraId="0AC511E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26能源管理体系</w:t>
            </w:r>
          </w:p>
        </w:tc>
        <w:tc>
          <w:tcPr>
            <w:tcW w:w="975" w:type="dxa"/>
            <w:tcBorders>
              <w:top w:val="nil"/>
              <w:left w:val="nil"/>
              <w:bottom w:val="single" w:color="auto" w:sz="4" w:space="0"/>
              <w:right w:val="single" w:color="auto" w:sz="4" w:space="0"/>
            </w:tcBorders>
            <w:noWrap w:val="0"/>
            <w:vAlign w:val="center"/>
          </w:tcPr>
          <w:p w14:paraId="6021694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75AF8578">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有年度能源管理计划，得0.5分。建立全过程能耗管理体系得0.5分。取得能源管理体系认证，得1分。得分不超过1分。</w:t>
            </w:r>
          </w:p>
        </w:tc>
        <w:tc>
          <w:tcPr>
            <w:tcW w:w="913" w:type="dxa"/>
            <w:tcBorders>
              <w:top w:val="nil"/>
              <w:left w:val="nil"/>
              <w:bottom w:val="single" w:color="auto" w:sz="4" w:space="0"/>
              <w:right w:val="single" w:color="auto" w:sz="4" w:space="0"/>
            </w:tcBorders>
            <w:noWrap w:val="0"/>
            <w:vAlign w:val="center"/>
          </w:tcPr>
          <w:p w14:paraId="6F89FFC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3DB739F7">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能耗核算体系文件或台账，能源管理体系证书</w:t>
            </w:r>
          </w:p>
        </w:tc>
        <w:tc>
          <w:tcPr>
            <w:tcW w:w="919" w:type="dxa"/>
            <w:tcBorders>
              <w:top w:val="nil"/>
              <w:left w:val="nil"/>
              <w:bottom w:val="single" w:color="auto" w:sz="4" w:space="0"/>
              <w:right w:val="single" w:color="auto" w:sz="4" w:space="0"/>
            </w:tcBorders>
            <w:noWrap w:val="0"/>
            <w:vAlign w:val="center"/>
          </w:tcPr>
          <w:p w14:paraId="6321F06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6D6E0D2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07BB6ED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2A06037">
        <w:tblPrEx>
          <w:tblCellMar>
            <w:top w:w="0" w:type="dxa"/>
            <w:left w:w="108" w:type="dxa"/>
            <w:bottom w:w="0" w:type="dxa"/>
            <w:right w:w="108" w:type="dxa"/>
          </w:tblCellMar>
        </w:tblPrEx>
        <w:trPr>
          <w:trHeight w:val="1999" w:hRule="atLeast"/>
          <w:jc w:val="center"/>
        </w:trPr>
        <w:tc>
          <w:tcPr>
            <w:tcW w:w="1188" w:type="dxa"/>
            <w:vMerge w:val="continue"/>
            <w:tcBorders>
              <w:left w:val="single" w:color="auto" w:sz="4" w:space="0"/>
              <w:right w:val="single" w:color="auto" w:sz="4" w:space="0"/>
            </w:tcBorders>
            <w:noWrap w:val="0"/>
            <w:vAlign w:val="center"/>
          </w:tcPr>
          <w:p w14:paraId="3659C204">
            <w:pPr>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40E05F96">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40160C2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27单位产品能耗</w:t>
            </w:r>
          </w:p>
        </w:tc>
        <w:tc>
          <w:tcPr>
            <w:tcW w:w="975" w:type="dxa"/>
            <w:tcBorders>
              <w:top w:val="nil"/>
              <w:left w:val="nil"/>
              <w:bottom w:val="single" w:color="auto" w:sz="4" w:space="0"/>
              <w:right w:val="single" w:color="auto" w:sz="4" w:space="0"/>
            </w:tcBorders>
            <w:noWrap w:val="0"/>
            <w:vAlign w:val="center"/>
          </w:tcPr>
          <w:p w14:paraId="512EF9F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1213525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煤矿、铁矿、金矿、有色金属矿的单位产品能耗严格执行国家标准。符合要求的得2分，不符合的得0分。其他暂无国家及行业能耗标准的矿种，以企业近3年能耗指标均值为依据进行考核，要体现节能降耗进步要求，能耗总体降低。符合要求的得2分，不符合的得0分。</w:t>
            </w:r>
          </w:p>
        </w:tc>
        <w:tc>
          <w:tcPr>
            <w:tcW w:w="913" w:type="dxa"/>
            <w:tcBorders>
              <w:top w:val="nil"/>
              <w:left w:val="nil"/>
              <w:bottom w:val="single" w:color="auto" w:sz="4" w:space="0"/>
              <w:right w:val="single" w:color="auto" w:sz="4" w:space="0"/>
            </w:tcBorders>
            <w:noWrap w:val="0"/>
            <w:vAlign w:val="center"/>
          </w:tcPr>
          <w:p w14:paraId="299AAD9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583FBED8">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能耗台账、各行业单位产品能源消耗限额</w:t>
            </w:r>
          </w:p>
        </w:tc>
        <w:tc>
          <w:tcPr>
            <w:tcW w:w="919" w:type="dxa"/>
            <w:tcBorders>
              <w:top w:val="nil"/>
              <w:left w:val="nil"/>
              <w:bottom w:val="single" w:color="auto" w:sz="4" w:space="0"/>
              <w:right w:val="single" w:color="auto" w:sz="4" w:space="0"/>
            </w:tcBorders>
            <w:noWrap w:val="0"/>
            <w:vAlign w:val="center"/>
          </w:tcPr>
          <w:p w14:paraId="3A4B43B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64D70B6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8B5EBA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20E1E94">
        <w:tblPrEx>
          <w:tblCellMar>
            <w:top w:w="0" w:type="dxa"/>
            <w:left w:w="108" w:type="dxa"/>
            <w:bottom w:w="0" w:type="dxa"/>
            <w:right w:w="108" w:type="dxa"/>
          </w:tblCellMar>
        </w:tblPrEx>
        <w:trPr>
          <w:trHeight w:val="2191" w:hRule="atLeast"/>
          <w:jc w:val="center"/>
        </w:trPr>
        <w:tc>
          <w:tcPr>
            <w:tcW w:w="1188" w:type="dxa"/>
            <w:vMerge w:val="continue"/>
            <w:tcBorders>
              <w:left w:val="single" w:color="auto" w:sz="4" w:space="0"/>
              <w:bottom w:val="single" w:color="auto" w:sz="4" w:space="0"/>
              <w:right w:val="single" w:color="auto" w:sz="4" w:space="0"/>
            </w:tcBorders>
            <w:noWrap w:val="0"/>
            <w:vAlign w:val="center"/>
          </w:tcPr>
          <w:p w14:paraId="5C37297C">
            <w:pPr>
              <w:widowControl/>
              <w:adjustRightInd w:val="0"/>
              <w:snapToGrid w:val="0"/>
              <w:spacing w:line="240" w:lineRule="atLeast"/>
              <w:jc w:val="center"/>
              <w:rPr>
                <w:rFonts w:ascii="宋体" w:hAnsi="宋体" w:eastAsia="等线" w:cs="Calibri"/>
                <w:color w:val="000000"/>
                <w:kern w:val="0"/>
                <w:szCs w:val="21"/>
              </w:rPr>
            </w:pPr>
          </w:p>
        </w:tc>
        <w:tc>
          <w:tcPr>
            <w:tcW w:w="1185" w:type="dxa"/>
            <w:tcBorders>
              <w:top w:val="nil"/>
              <w:left w:val="nil"/>
              <w:bottom w:val="single" w:color="auto" w:sz="4" w:space="0"/>
              <w:right w:val="single" w:color="auto" w:sz="4" w:space="0"/>
            </w:tcBorders>
            <w:noWrap w:val="0"/>
            <w:vAlign w:val="center"/>
          </w:tcPr>
          <w:p w14:paraId="24169CC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3减碳（2分）</w:t>
            </w:r>
          </w:p>
        </w:tc>
        <w:tc>
          <w:tcPr>
            <w:tcW w:w="1245" w:type="dxa"/>
            <w:tcBorders>
              <w:top w:val="nil"/>
              <w:left w:val="nil"/>
              <w:bottom w:val="single" w:color="auto" w:sz="4" w:space="0"/>
              <w:right w:val="single" w:color="auto" w:sz="4" w:space="0"/>
            </w:tcBorders>
            <w:noWrap w:val="0"/>
            <w:vAlign w:val="center"/>
          </w:tcPr>
          <w:p w14:paraId="2728AF3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28碳排放核算</w:t>
            </w:r>
          </w:p>
        </w:tc>
        <w:tc>
          <w:tcPr>
            <w:tcW w:w="975" w:type="dxa"/>
            <w:tcBorders>
              <w:top w:val="nil"/>
              <w:left w:val="nil"/>
              <w:bottom w:val="single" w:color="auto" w:sz="4" w:space="0"/>
              <w:right w:val="single" w:color="auto" w:sz="4" w:space="0"/>
            </w:tcBorders>
            <w:noWrap w:val="0"/>
            <w:vAlign w:val="center"/>
          </w:tcPr>
          <w:p w14:paraId="5DC77DC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24329569">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按照规定的核算方法，对矿区范围内的温室气体排放进行核算，开展工作的，得2分，未开展工作的，得0分。</w:t>
            </w:r>
          </w:p>
        </w:tc>
        <w:tc>
          <w:tcPr>
            <w:tcW w:w="913" w:type="dxa"/>
            <w:tcBorders>
              <w:top w:val="nil"/>
              <w:left w:val="nil"/>
              <w:bottom w:val="single" w:color="auto" w:sz="4" w:space="0"/>
              <w:right w:val="single" w:color="auto" w:sz="4" w:space="0"/>
            </w:tcBorders>
            <w:noWrap w:val="0"/>
            <w:vAlign w:val="center"/>
          </w:tcPr>
          <w:p w14:paraId="3257009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30FCE710">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《工业企业温室气体排放核算和报告通则》（GB/T  32150）、《温室气体排放核算方法与报告要求》（GB/T 32151）</w:t>
            </w:r>
          </w:p>
        </w:tc>
        <w:tc>
          <w:tcPr>
            <w:tcW w:w="919" w:type="dxa"/>
            <w:tcBorders>
              <w:top w:val="nil"/>
              <w:left w:val="nil"/>
              <w:bottom w:val="single" w:color="auto" w:sz="4" w:space="0"/>
              <w:right w:val="single" w:color="auto" w:sz="4" w:space="0"/>
            </w:tcBorders>
            <w:noWrap w:val="0"/>
            <w:vAlign w:val="center"/>
          </w:tcPr>
          <w:p w14:paraId="2728C6A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761F60D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4F92FA2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3FB07DCA">
        <w:tblPrEx>
          <w:tblCellMar>
            <w:top w:w="0" w:type="dxa"/>
            <w:left w:w="108" w:type="dxa"/>
            <w:bottom w:w="0" w:type="dxa"/>
            <w:right w:w="108" w:type="dxa"/>
          </w:tblCellMar>
        </w:tblPrEx>
        <w:trPr>
          <w:trHeight w:val="2245"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7023CDC3">
            <w:pPr>
              <w:widowControl/>
              <w:adjustRightInd w:val="0"/>
              <w:snapToGrid w:val="0"/>
              <w:spacing w:line="240" w:lineRule="atLeast"/>
              <w:jc w:val="center"/>
              <w:rPr>
                <w:rFonts w:ascii="宋体" w:hAnsi="宋体" w:eastAsia="等线" w:cs="Calibri"/>
                <w:color w:val="000000"/>
                <w:kern w:val="0"/>
                <w:szCs w:val="21"/>
              </w:rPr>
            </w:pPr>
            <w:r>
              <w:rPr>
                <w:rFonts w:hint="eastAsia" w:ascii="宋体" w:hAnsi="宋体" w:cs="Calibri"/>
                <w:color w:val="000000"/>
                <w:kern w:val="0"/>
                <w:szCs w:val="21"/>
              </w:rPr>
              <w:t>四、绿色低碳（</w:t>
            </w:r>
            <w:r>
              <w:rPr>
                <w:rFonts w:ascii="宋体" w:hAnsi="宋体" w:eastAsia="等线" w:cs="Calibri"/>
                <w:color w:val="000000"/>
                <w:kern w:val="0"/>
                <w:szCs w:val="21"/>
              </w:rPr>
              <w:t>13</w:t>
            </w:r>
            <w:r>
              <w:rPr>
                <w:rFonts w:hint="eastAsia" w:ascii="宋体" w:hAnsi="宋体" w:cs="Calibri"/>
                <w:color w:val="000000"/>
                <w:kern w:val="0"/>
                <w:szCs w:val="21"/>
              </w:rPr>
              <w:t>项，</w:t>
            </w:r>
            <w:r>
              <w:rPr>
                <w:rFonts w:ascii="宋体" w:hAnsi="宋体" w:eastAsia="等线" w:cs="Calibri"/>
                <w:color w:val="000000"/>
                <w:kern w:val="0"/>
                <w:szCs w:val="21"/>
              </w:rPr>
              <w:t>20</w:t>
            </w:r>
            <w:r>
              <w:rPr>
                <w:rFonts w:hint="eastAsia" w:ascii="宋体" w:hAnsi="宋体" w:cs="Calibri"/>
                <w:color w:val="000000"/>
                <w:kern w:val="0"/>
                <w:szCs w:val="21"/>
              </w:rPr>
              <w:t>分）</w:t>
            </w:r>
          </w:p>
        </w:tc>
        <w:tc>
          <w:tcPr>
            <w:tcW w:w="1185" w:type="dxa"/>
            <w:vMerge w:val="restart"/>
            <w:tcBorders>
              <w:top w:val="single" w:color="auto" w:sz="4" w:space="0"/>
              <w:left w:val="nil"/>
              <w:bottom w:val="single" w:color="auto" w:sz="4" w:space="0"/>
              <w:right w:val="single" w:color="auto" w:sz="4" w:space="0"/>
            </w:tcBorders>
            <w:noWrap w:val="0"/>
            <w:vAlign w:val="center"/>
          </w:tcPr>
          <w:p w14:paraId="6B1552F9">
            <w:pPr>
              <w:widowControl/>
              <w:adjustRightInd w:val="0"/>
              <w:snapToGrid w:val="0"/>
              <w:spacing w:line="240" w:lineRule="atLeast"/>
              <w:jc w:val="center"/>
              <w:rPr>
                <w:rFonts w:ascii="宋体" w:hAnsi="宋体" w:cs="宋体"/>
                <w:color w:val="000000"/>
                <w:kern w:val="0"/>
                <w:szCs w:val="21"/>
              </w:rPr>
            </w:pPr>
            <w:r>
              <w:rPr>
                <w:rFonts w:hint="eastAsia" w:ascii="宋体" w:hAnsi="宋体" w:cs="宋体"/>
                <w:color w:val="000000"/>
                <w:kern w:val="0"/>
                <w:szCs w:val="21"/>
              </w:rPr>
              <w:t>4源头预防（5分）</w:t>
            </w:r>
          </w:p>
          <w:p w14:paraId="3CE53A15">
            <w:pPr>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687631D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29地下水环境状况</w:t>
            </w:r>
          </w:p>
        </w:tc>
        <w:tc>
          <w:tcPr>
            <w:tcW w:w="975" w:type="dxa"/>
            <w:tcBorders>
              <w:top w:val="single" w:color="auto" w:sz="8" w:space="0"/>
              <w:left w:val="single" w:color="auto" w:sz="8" w:space="0"/>
              <w:bottom w:val="single" w:color="auto" w:sz="8" w:space="0"/>
              <w:right w:val="single" w:color="auto" w:sz="8" w:space="0"/>
            </w:tcBorders>
            <w:noWrap w:val="0"/>
            <w:vAlign w:val="center"/>
          </w:tcPr>
          <w:p w14:paraId="7DC0AAD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single" w:color="auto" w:sz="8" w:space="0"/>
              <w:left w:val="nil"/>
              <w:bottom w:val="single" w:color="auto" w:sz="8" w:space="0"/>
              <w:right w:val="single" w:color="auto" w:sz="8" w:space="0"/>
            </w:tcBorders>
            <w:noWrap w:val="0"/>
            <w:vAlign w:val="center"/>
          </w:tcPr>
          <w:p w14:paraId="1FA929F0">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区及周边地下水具备使用功能的，其环境状况应达到相关功能限值要求；存在因矿山开发导致地下水不满足相关功能要求时，应该按照相关标准开展地下水污染风险管控修复，防止地下水污染加重与扩散。符合要求得1分，不符合得0分。</w:t>
            </w:r>
          </w:p>
        </w:tc>
        <w:tc>
          <w:tcPr>
            <w:tcW w:w="913" w:type="dxa"/>
            <w:tcBorders>
              <w:top w:val="nil"/>
              <w:left w:val="single" w:color="auto" w:sz="4" w:space="0"/>
              <w:bottom w:val="single" w:color="auto" w:sz="4" w:space="0"/>
              <w:right w:val="single" w:color="auto" w:sz="4" w:space="0"/>
            </w:tcBorders>
            <w:noWrap w:val="0"/>
            <w:vAlign w:val="center"/>
          </w:tcPr>
          <w:p w14:paraId="41CF577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2498D860">
            <w:pPr>
              <w:widowControl/>
              <w:adjustRightInd w:val="0"/>
              <w:snapToGrid w:val="0"/>
              <w:jc w:val="both"/>
              <w:rPr>
                <w:rFonts w:hint="eastAsia" w:ascii="宋体" w:hAnsi="宋体" w:cs="宋体"/>
                <w:color w:val="000000"/>
                <w:kern w:val="0"/>
                <w:sz w:val="20"/>
                <w:szCs w:val="20"/>
              </w:rPr>
            </w:pPr>
            <w:r>
              <w:rPr>
                <w:rFonts w:hint="eastAsia" w:ascii="宋体" w:hAnsi="宋体" w:cs="宋体"/>
                <w:color w:val="000000"/>
                <w:kern w:val="0"/>
                <w:sz w:val="20"/>
                <w:szCs w:val="20"/>
              </w:rPr>
              <w:t xml:space="preserve">《工矿用地土壤环境管理办法（试行）》《地下水质量标准》（GB/T 14848）、《污染地块地下水修复和风险管控技术导则》（HJ 25.6）、符合环评批复相关要求 </w:t>
            </w:r>
          </w:p>
        </w:tc>
        <w:tc>
          <w:tcPr>
            <w:tcW w:w="919" w:type="dxa"/>
            <w:tcBorders>
              <w:top w:val="nil"/>
              <w:left w:val="nil"/>
              <w:bottom w:val="single" w:color="auto" w:sz="4" w:space="0"/>
              <w:right w:val="single" w:color="auto" w:sz="4" w:space="0"/>
            </w:tcBorders>
            <w:noWrap w:val="0"/>
            <w:vAlign w:val="center"/>
          </w:tcPr>
          <w:p w14:paraId="1A4036A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0A9BB12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1600A1A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0F24DE32">
        <w:tblPrEx>
          <w:tblCellMar>
            <w:top w:w="0" w:type="dxa"/>
            <w:left w:w="108" w:type="dxa"/>
            <w:bottom w:w="0" w:type="dxa"/>
            <w:right w:w="108" w:type="dxa"/>
          </w:tblCellMar>
        </w:tblPrEx>
        <w:trPr>
          <w:trHeight w:val="1814"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12CC6E42">
            <w:pPr>
              <w:adjustRightInd w:val="0"/>
              <w:snapToGrid w:val="0"/>
              <w:spacing w:line="240" w:lineRule="atLeast"/>
              <w:jc w:val="left"/>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751BA7DF">
            <w:pPr>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04FB464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30酸性废水源头预防</w:t>
            </w:r>
          </w:p>
        </w:tc>
        <w:tc>
          <w:tcPr>
            <w:tcW w:w="975" w:type="dxa"/>
            <w:tcBorders>
              <w:top w:val="single" w:color="auto" w:sz="4" w:space="0"/>
              <w:left w:val="nil"/>
              <w:bottom w:val="single" w:color="auto" w:sz="4" w:space="0"/>
              <w:right w:val="single" w:color="auto" w:sz="4" w:space="0"/>
            </w:tcBorders>
            <w:noWrap w:val="0"/>
            <w:vAlign w:val="center"/>
          </w:tcPr>
          <w:p w14:paraId="07BC32B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single" w:color="auto" w:sz="4" w:space="0"/>
              <w:left w:val="nil"/>
              <w:bottom w:val="single" w:color="auto" w:sz="4" w:space="0"/>
              <w:right w:val="single" w:color="auto" w:sz="4" w:space="0"/>
            </w:tcBorders>
            <w:noWrap w:val="0"/>
            <w:vAlign w:val="center"/>
          </w:tcPr>
          <w:p w14:paraId="01393DA2">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评估预测矿山关闭酸性废水产生量及对周边环境影响，在开采和闭矿前综合采用雨水导排、补给控制、矿山回填等措施，预防酸性废水大量产生。符合要求得1分，不符合得0分。</w:t>
            </w:r>
          </w:p>
        </w:tc>
        <w:tc>
          <w:tcPr>
            <w:tcW w:w="913" w:type="dxa"/>
            <w:tcBorders>
              <w:top w:val="nil"/>
              <w:left w:val="nil"/>
              <w:bottom w:val="single" w:color="auto" w:sz="4" w:space="0"/>
              <w:right w:val="single" w:color="auto" w:sz="4" w:space="0"/>
            </w:tcBorders>
            <w:noWrap w:val="0"/>
            <w:vAlign w:val="center"/>
          </w:tcPr>
          <w:p w14:paraId="5CAA529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0DBB091E">
            <w:pPr>
              <w:widowControl/>
              <w:adjustRightInd w:val="0"/>
              <w:snapToGrid w:val="0"/>
              <w:jc w:val="both"/>
              <w:rPr>
                <w:rFonts w:hint="eastAsia" w:ascii="宋体" w:hAnsi="宋体" w:cs="宋体"/>
                <w:color w:val="000000"/>
                <w:kern w:val="0"/>
                <w:sz w:val="20"/>
                <w:szCs w:val="20"/>
              </w:rPr>
            </w:pPr>
            <w:r>
              <w:rPr>
                <w:rFonts w:hint="eastAsia" w:ascii="宋体" w:hAnsi="宋体" w:cs="宋体"/>
                <w:color w:val="000000"/>
                <w:kern w:val="0"/>
                <w:sz w:val="20"/>
                <w:szCs w:val="20"/>
              </w:rPr>
              <w:t xml:space="preserve">《水污染防治法》、符合环评批复相关要求 </w:t>
            </w:r>
          </w:p>
        </w:tc>
        <w:tc>
          <w:tcPr>
            <w:tcW w:w="919" w:type="dxa"/>
            <w:tcBorders>
              <w:top w:val="nil"/>
              <w:left w:val="nil"/>
              <w:bottom w:val="single" w:color="auto" w:sz="4" w:space="0"/>
              <w:right w:val="single" w:color="auto" w:sz="4" w:space="0"/>
            </w:tcBorders>
            <w:noWrap w:val="0"/>
            <w:vAlign w:val="center"/>
          </w:tcPr>
          <w:p w14:paraId="3C5EA14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2A30A5E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5680489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1C73CB79">
        <w:tblPrEx>
          <w:tblCellMar>
            <w:top w:w="0" w:type="dxa"/>
            <w:left w:w="108" w:type="dxa"/>
            <w:bottom w:w="0" w:type="dxa"/>
            <w:right w:w="108" w:type="dxa"/>
          </w:tblCellMar>
        </w:tblPrEx>
        <w:trPr>
          <w:trHeight w:val="3955"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25B065C7">
            <w:pPr>
              <w:adjustRightInd w:val="0"/>
              <w:snapToGrid w:val="0"/>
              <w:spacing w:line="240" w:lineRule="atLeast"/>
              <w:jc w:val="left"/>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0D302502">
            <w:pPr>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5A2DFA1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31土壤污染源头预防</w:t>
            </w:r>
          </w:p>
        </w:tc>
        <w:tc>
          <w:tcPr>
            <w:tcW w:w="975" w:type="dxa"/>
            <w:tcBorders>
              <w:top w:val="nil"/>
              <w:left w:val="nil"/>
              <w:bottom w:val="single" w:color="auto" w:sz="4" w:space="0"/>
              <w:right w:val="single" w:color="auto" w:sz="4" w:space="0"/>
            </w:tcBorders>
            <w:noWrap w:val="0"/>
            <w:vAlign w:val="center"/>
          </w:tcPr>
          <w:p w14:paraId="684BD89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68B9CA76">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山开采区、尾矿库等运营、管理单位应当采取防渗漏等措施，并建设地下水水质监测井进行监测；建设涉及有毒有害物质的设施设备，应设计、建设和安装有关防腐蚀、防泄漏设施和泄漏监测装置，防止有毒有害物质污染土壤和地下水；构筑物及场地防渗要求符合相关标准的规定。符合要求得2分，不符合得0分。</w:t>
            </w:r>
          </w:p>
        </w:tc>
        <w:tc>
          <w:tcPr>
            <w:tcW w:w="913" w:type="dxa"/>
            <w:tcBorders>
              <w:top w:val="nil"/>
              <w:left w:val="nil"/>
              <w:bottom w:val="single" w:color="auto" w:sz="4" w:space="0"/>
              <w:right w:val="single" w:color="auto" w:sz="4" w:space="0"/>
            </w:tcBorders>
            <w:noWrap w:val="0"/>
            <w:vAlign w:val="center"/>
          </w:tcPr>
          <w:p w14:paraId="0BB1906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42E46973">
            <w:pPr>
              <w:widowControl/>
              <w:adjustRightInd w:val="0"/>
              <w:snapToGrid w:val="0"/>
              <w:spacing w:line="240" w:lineRule="exact"/>
              <w:jc w:val="both"/>
              <w:rPr>
                <w:rFonts w:hint="eastAsia" w:ascii="宋体" w:hAnsi="宋体" w:cs="宋体"/>
                <w:color w:val="000000"/>
                <w:kern w:val="0"/>
                <w:sz w:val="20"/>
                <w:szCs w:val="20"/>
              </w:rPr>
            </w:pPr>
            <w:r>
              <w:rPr>
                <w:rFonts w:hint="eastAsia" w:ascii="宋体" w:hAnsi="宋体" w:cs="宋体"/>
                <w:color w:val="000000"/>
                <w:kern w:val="0"/>
                <w:sz w:val="20"/>
                <w:szCs w:val="20"/>
              </w:rPr>
              <w:t xml:space="preserve">《水污染防治法》《工矿用地土壤环境管理办法（试行）》《一般工业固体废物贮存和填埋污染控制标准》（GB 18599）《尾矿库设计规范》（GB 50863）、《有色金属工业环境保护工程设计规范》（GB </w:t>
            </w:r>
            <w:r>
              <w:rPr>
                <w:rFonts w:hint="eastAsia" w:ascii="宋体" w:hAnsi="宋体" w:cs="宋体"/>
                <w:color w:val="000000"/>
                <w:kern w:val="0"/>
                <w:sz w:val="20"/>
                <w:szCs w:val="20"/>
                <w:lang w:val="en-US" w:eastAsia="zh-CN"/>
              </w:rPr>
              <w:t>5</w:t>
            </w:r>
            <w:r>
              <w:rPr>
                <w:rFonts w:hint="eastAsia" w:ascii="宋体" w:hAnsi="宋体" w:cs="宋体"/>
                <w:color w:val="000000"/>
                <w:kern w:val="0"/>
                <w:sz w:val="20"/>
                <w:szCs w:val="20"/>
              </w:rPr>
              <w:t xml:space="preserve">0988）、《危险废物贮存污染控制标准》（GB 8597）、《危险废物填埋污染控制标准》（GB 18598）、符合环评批复相关要求 </w:t>
            </w:r>
          </w:p>
        </w:tc>
        <w:tc>
          <w:tcPr>
            <w:tcW w:w="919" w:type="dxa"/>
            <w:tcBorders>
              <w:top w:val="nil"/>
              <w:left w:val="nil"/>
              <w:bottom w:val="single" w:color="auto" w:sz="4" w:space="0"/>
              <w:right w:val="single" w:color="auto" w:sz="4" w:space="0"/>
            </w:tcBorders>
            <w:noWrap w:val="0"/>
            <w:vAlign w:val="center"/>
          </w:tcPr>
          <w:p w14:paraId="47E3CF6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59C001F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613423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04C3DE77">
        <w:tblPrEx>
          <w:tblCellMar>
            <w:top w:w="0" w:type="dxa"/>
            <w:left w:w="108" w:type="dxa"/>
            <w:bottom w:w="0" w:type="dxa"/>
            <w:right w:w="108" w:type="dxa"/>
          </w:tblCellMar>
        </w:tblPrEx>
        <w:trPr>
          <w:trHeight w:val="2784"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0BE3B0C6">
            <w:pPr>
              <w:adjustRightInd w:val="0"/>
              <w:snapToGrid w:val="0"/>
              <w:spacing w:line="240" w:lineRule="atLeast"/>
              <w:jc w:val="left"/>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533962BF">
            <w:pPr>
              <w:widowControl/>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1AA1475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32土壤污染隐患排查</w:t>
            </w:r>
          </w:p>
        </w:tc>
        <w:tc>
          <w:tcPr>
            <w:tcW w:w="975" w:type="dxa"/>
            <w:tcBorders>
              <w:top w:val="nil"/>
              <w:left w:val="nil"/>
              <w:bottom w:val="single" w:color="auto" w:sz="4" w:space="0"/>
              <w:right w:val="single" w:color="auto" w:sz="4" w:space="0"/>
            </w:tcBorders>
            <w:noWrap w:val="0"/>
            <w:vAlign w:val="center"/>
          </w:tcPr>
          <w:p w14:paraId="2F59556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659B7D57">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列入土壤污染重点监管单位的企业，应定期对重点场所、重点设施设备开展隐患排查；开展土壤和地下水自行监测；严格控制有毒有害物质排放，并按年度向生态环境主管部门报告排放情况。符合要求得1分，不符合得0分（未列入土壤污染重点监管单位的企业本项直接得分）</w:t>
            </w:r>
          </w:p>
        </w:tc>
        <w:tc>
          <w:tcPr>
            <w:tcW w:w="913" w:type="dxa"/>
            <w:tcBorders>
              <w:top w:val="nil"/>
              <w:left w:val="nil"/>
              <w:bottom w:val="single" w:color="auto" w:sz="4" w:space="0"/>
              <w:right w:val="single" w:color="auto" w:sz="4" w:space="0"/>
            </w:tcBorders>
            <w:noWrap w:val="0"/>
            <w:vAlign w:val="center"/>
          </w:tcPr>
          <w:p w14:paraId="190742A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74F7A228">
            <w:pPr>
              <w:widowControl/>
              <w:adjustRightInd w:val="0"/>
              <w:snapToGrid w:val="0"/>
              <w:spacing w:line="240" w:lineRule="atLeast"/>
              <w:jc w:val="both"/>
              <w:rPr>
                <w:rFonts w:hint="eastAsia" w:ascii="宋体" w:hAnsi="宋体" w:cs="宋体"/>
                <w:color w:val="000000"/>
                <w:kern w:val="0"/>
                <w:sz w:val="20"/>
                <w:szCs w:val="20"/>
              </w:rPr>
            </w:pPr>
            <w:r>
              <w:rPr>
                <w:rFonts w:hint="eastAsia" w:ascii="宋体" w:hAnsi="宋体" w:cs="宋体"/>
                <w:color w:val="000000"/>
                <w:kern w:val="0"/>
                <w:sz w:val="20"/>
                <w:szCs w:val="20"/>
              </w:rPr>
              <w:t>《土壤污染防治法》《重点监管单位土壤污染隐患排查指南（试行）》（生态环境部〔2021〕1号公告）、《工业企业土壤和地下水自行监测技术指南（试行）》（HJ 1209）</w:t>
            </w:r>
          </w:p>
        </w:tc>
        <w:tc>
          <w:tcPr>
            <w:tcW w:w="919" w:type="dxa"/>
            <w:tcBorders>
              <w:top w:val="nil"/>
              <w:left w:val="nil"/>
              <w:bottom w:val="single" w:color="auto" w:sz="4" w:space="0"/>
              <w:right w:val="single" w:color="auto" w:sz="4" w:space="0"/>
            </w:tcBorders>
            <w:noWrap w:val="0"/>
            <w:vAlign w:val="center"/>
          </w:tcPr>
          <w:p w14:paraId="723F732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4C17C37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91168E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BE526E3">
        <w:tblPrEx>
          <w:tblCellMar>
            <w:top w:w="0" w:type="dxa"/>
            <w:left w:w="108" w:type="dxa"/>
            <w:bottom w:w="0" w:type="dxa"/>
            <w:right w:w="108" w:type="dxa"/>
          </w:tblCellMar>
        </w:tblPrEx>
        <w:trPr>
          <w:trHeight w:val="2730"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2D6786D1">
            <w:pPr>
              <w:widowControl/>
              <w:adjustRightInd w:val="0"/>
              <w:snapToGrid w:val="0"/>
              <w:spacing w:line="240" w:lineRule="atLeast"/>
              <w:jc w:val="center"/>
              <w:rPr>
                <w:rFonts w:ascii="宋体" w:hAnsi="宋体" w:eastAsia="等线" w:cs="Calibri"/>
                <w:color w:val="000000"/>
                <w:kern w:val="0"/>
                <w:szCs w:val="21"/>
              </w:rPr>
            </w:pPr>
            <w:r>
              <w:rPr>
                <w:rFonts w:ascii="宋体" w:hAnsi="宋体" w:eastAsia="等线" w:cs="Calibri"/>
                <w:color w:val="000000"/>
                <w:kern w:val="0"/>
                <w:szCs w:val="21"/>
              </w:rPr>
              <w:t>　</w:t>
            </w:r>
            <w:r>
              <w:rPr>
                <w:rFonts w:hint="eastAsia" w:ascii="宋体" w:hAnsi="宋体" w:cs="Calibri"/>
                <w:color w:val="000000"/>
                <w:kern w:val="0"/>
                <w:szCs w:val="21"/>
              </w:rPr>
              <w:t>四、绿色低碳（</w:t>
            </w:r>
            <w:r>
              <w:rPr>
                <w:rFonts w:ascii="宋体" w:hAnsi="宋体" w:eastAsia="等线" w:cs="Calibri"/>
                <w:color w:val="000000"/>
                <w:kern w:val="0"/>
                <w:szCs w:val="21"/>
              </w:rPr>
              <w:t>13</w:t>
            </w:r>
            <w:r>
              <w:rPr>
                <w:rFonts w:hint="eastAsia" w:ascii="宋体" w:hAnsi="宋体" w:cs="Calibri"/>
                <w:color w:val="000000"/>
                <w:kern w:val="0"/>
                <w:szCs w:val="21"/>
              </w:rPr>
              <w:t>项，</w:t>
            </w:r>
            <w:r>
              <w:rPr>
                <w:rFonts w:ascii="宋体" w:hAnsi="宋体" w:eastAsia="等线" w:cs="Calibri"/>
                <w:color w:val="000000"/>
                <w:kern w:val="0"/>
                <w:szCs w:val="21"/>
              </w:rPr>
              <w:t>20</w:t>
            </w:r>
            <w:r>
              <w:rPr>
                <w:rFonts w:hint="eastAsia" w:ascii="宋体" w:hAnsi="宋体" w:cs="Calibri"/>
                <w:color w:val="000000"/>
                <w:kern w:val="0"/>
                <w:szCs w:val="21"/>
              </w:rPr>
              <w:t>分）</w:t>
            </w:r>
          </w:p>
          <w:p w14:paraId="26351181">
            <w:pPr>
              <w:adjustRightInd w:val="0"/>
              <w:snapToGrid w:val="0"/>
              <w:spacing w:line="240" w:lineRule="atLeast"/>
              <w:jc w:val="center"/>
              <w:rPr>
                <w:rFonts w:ascii="宋体" w:hAnsi="宋体" w:eastAsia="等线" w:cs="Calibri"/>
                <w:color w:val="000000"/>
                <w:kern w:val="0"/>
                <w:szCs w:val="21"/>
              </w:rPr>
            </w:pPr>
          </w:p>
        </w:tc>
        <w:tc>
          <w:tcPr>
            <w:tcW w:w="1185" w:type="dxa"/>
            <w:vMerge w:val="restart"/>
            <w:tcBorders>
              <w:top w:val="single" w:color="auto" w:sz="4" w:space="0"/>
              <w:left w:val="nil"/>
              <w:bottom w:val="single" w:color="auto" w:sz="4" w:space="0"/>
              <w:right w:val="single" w:color="auto" w:sz="4" w:space="0"/>
            </w:tcBorders>
            <w:noWrap w:val="0"/>
            <w:vAlign w:val="center"/>
          </w:tcPr>
          <w:p w14:paraId="782E8D0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5废物排放（8分）</w:t>
            </w:r>
          </w:p>
        </w:tc>
        <w:tc>
          <w:tcPr>
            <w:tcW w:w="1245" w:type="dxa"/>
            <w:tcBorders>
              <w:top w:val="nil"/>
              <w:left w:val="nil"/>
              <w:bottom w:val="single" w:color="auto" w:sz="4" w:space="0"/>
              <w:right w:val="single" w:color="auto" w:sz="4" w:space="0"/>
            </w:tcBorders>
            <w:noWrap w:val="0"/>
            <w:vAlign w:val="center"/>
          </w:tcPr>
          <w:p w14:paraId="2EE8906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33固废排放</w:t>
            </w:r>
          </w:p>
        </w:tc>
        <w:tc>
          <w:tcPr>
            <w:tcW w:w="975" w:type="dxa"/>
            <w:tcBorders>
              <w:top w:val="nil"/>
              <w:left w:val="nil"/>
              <w:bottom w:val="single" w:color="auto" w:sz="4" w:space="0"/>
              <w:right w:val="single" w:color="auto" w:sz="4" w:space="0"/>
            </w:tcBorders>
            <w:noWrap w:val="0"/>
            <w:vAlign w:val="center"/>
          </w:tcPr>
          <w:p w14:paraId="4F2DBC4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753230E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对无法实现综合利用的固体废弃物，划分危险废物、一般废物和生活垃圾不同类别，实现分级分类，堆场、尾矿库污染防治设施符合相关法规标准要求，并按照国家法律和标准，自行或委托第三方对一般固体废弃物进行处置，委托第三方有资质的单位对危险废物进行处置。符合要求得2分，不符合得0分。</w:t>
            </w:r>
          </w:p>
        </w:tc>
        <w:tc>
          <w:tcPr>
            <w:tcW w:w="913" w:type="dxa"/>
            <w:tcBorders>
              <w:top w:val="nil"/>
              <w:left w:val="nil"/>
              <w:bottom w:val="single" w:color="auto" w:sz="4" w:space="0"/>
              <w:right w:val="single" w:color="auto" w:sz="4" w:space="0"/>
            </w:tcBorders>
            <w:noWrap w:val="0"/>
            <w:vAlign w:val="center"/>
          </w:tcPr>
          <w:p w14:paraId="2F0EB4E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65FDF484">
            <w:pPr>
              <w:widowControl/>
              <w:adjustRightInd w:val="0"/>
              <w:snapToGrid w:val="0"/>
              <w:spacing w:line="240" w:lineRule="atLeast"/>
              <w:jc w:val="both"/>
              <w:rPr>
                <w:rFonts w:hint="eastAsia" w:ascii="宋体" w:hAnsi="宋体" w:cs="宋体"/>
                <w:color w:val="000000"/>
                <w:kern w:val="0"/>
                <w:sz w:val="18"/>
                <w:szCs w:val="18"/>
              </w:rPr>
            </w:pPr>
            <w:r>
              <w:rPr>
                <w:rFonts w:hint="eastAsia" w:ascii="宋体" w:hAnsi="宋体" w:cs="宋体"/>
                <w:color w:val="000000"/>
                <w:kern w:val="0"/>
                <w:sz w:val="18"/>
                <w:szCs w:val="18"/>
              </w:rPr>
              <w:t xml:space="preserve">《中华人民共和国固体废物污染环境防治法》《一般工业固体废物贮存、处置场污染控制标准》(GB 18599)，危险废物焚烧、贮存、填埋污染控制标准(GB 18484、18597、18598)，符合环评批复相关要求 </w:t>
            </w:r>
          </w:p>
        </w:tc>
        <w:tc>
          <w:tcPr>
            <w:tcW w:w="919" w:type="dxa"/>
            <w:tcBorders>
              <w:top w:val="nil"/>
              <w:left w:val="nil"/>
              <w:bottom w:val="single" w:color="auto" w:sz="4" w:space="0"/>
              <w:right w:val="single" w:color="auto" w:sz="4" w:space="0"/>
            </w:tcBorders>
            <w:noWrap w:val="0"/>
            <w:vAlign w:val="center"/>
          </w:tcPr>
          <w:p w14:paraId="613AE77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561B119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1BEB1AB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5C011988">
        <w:tblPrEx>
          <w:tblCellMar>
            <w:top w:w="0" w:type="dxa"/>
            <w:left w:w="108" w:type="dxa"/>
            <w:bottom w:w="0" w:type="dxa"/>
            <w:right w:w="108" w:type="dxa"/>
          </w:tblCellMar>
        </w:tblPrEx>
        <w:trPr>
          <w:trHeight w:val="2505"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7A9C638C">
            <w:pPr>
              <w:adjustRightInd w:val="0"/>
              <w:snapToGrid w:val="0"/>
              <w:spacing w:line="240" w:lineRule="atLeast"/>
              <w:jc w:val="center"/>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657DAAF1">
            <w:pPr>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73CD613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34废水排放</w:t>
            </w:r>
          </w:p>
        </w:tc>
        <w:tc>
          <w:tcPr>
            <w:tcW w:w="975" w:type="dxa"/>
            <w:tcBorders>
              <w:top w:val="nil"/>
              <w:left w:val="nil"/>
              <w:bottom w:val="single" w:color="auto" w:sz="4" w:space="0"/>
              <w:right w:val="single" w:color="auto" w:sz="4" w:space="0"/>
            </w:tcBorders>
            <w:noWrap w:val="0"/>
            <w:vAlign w:val="center"/>
          </w:tcPr>
          <w:p w14:paraId="13734DD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2834BF0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清污管路分别铺设、雨水与污水管群分开设置；生活污水经处理后水质达标排放，或污水直接排入市政污水管网；工业废水经处理后水质达标排放；尾矿库、排土场等建有雨水截（排）水沟，地表径流水、淋溶水等经沉淀后达标排放或处理回用。符合要求得2分，不符合得0分。</w:t>
            </w:r>
          </w:p>
        </w:tc>
        <w:tc>
          <w:tcPr>
            <w:tcW w:w="913" w:type="dxa"/>
            <w:tcBorders>
              <w:top w:val="nil"/>
              <w:left w:val="nil"/>
              <w:bottom w:val="single" w:color="auto" w:sz="4" w:space="0"/>
              <w:right w:val="single" w:color="auto" w:sz="4" w:space="0"/>
            </w:tcBorders>
            <w:noWrap w:val="0"/>
            <w:vAlign w:val="center"/>
          </w:tcPr>
          <w:p w14:paraId="63924FF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6ABC1C0F">
            <w:pPr>
              <w:widowControl/>
              <w:adjustRightInd w:val="0"/>
              <w:snapToGrid w:val="0"/>
              <w:jc w:val="both"/>
              <w:rPr>
                <w:rFonts w:hint="eastAsia" w:ascii="宋体" w:hAnsi="宋体" w:cs="宋体"/>
                <w:color w:val="000000"/>
                <w:kern w:val="0"/>
                <w:sz w:val="18"/>
                <w:szCs w:val="18"/>
              </w:rPr>
            </w:pPr>
            <w:r>
              <w:rPr>
                <w:rFonts w:hint="eastAsia" w:ascii="宋体" w:hAnsi="宋体" w:cs="宋体"/>
                <w:color w:val="000000"/>
                <w:kern w:val="0"/>
                <w:sz w:val="18"/>
                <w:szCs w:val="18"/>
              </w:rPr>
              <w:t xml:space="preserve">国家水污染物排放标准（GB 8978、GB 20426、GB 25465、GB 25466、GB 25467、GB 25468、GB 26451、GB 28661、GB 30770等）以及云南省人民政府发布实施的地方水污染物排放标准，符合环评批复相关要求 </w:t>
            </w:r>
          </w:p>
        </w:tc>
        <w:tc>
          <w:tcPr>
            <w:tcW w:w="919" w:type="dxa"/>
            <w:tcBorders>
              <w:top w:val="nil"/>
              <w:left w:val="nil"/>
              <w:bottom w:val="single" w:color="auto" w:sz="4" w:space="0"/>
              <w:right w:val="single" w:color="auto" w:sz="4" w:space="0"/>
            </w:tcBorders>
            <w:noWrap w:val="0"/>
            <w:vAlign w:val="center"/>
          </w:tcPr>
          <w:p w14:paraId="7C9FAB1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1769B9A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23DBC27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1C663AF7">
        <w:tblPrEx>
          <w:tblCellMar>
            <w:top w:w="0" w:type="dxa"/>
            <w:left w:w="108" w:type="dxa"/>
            <w:bottom w:w="0" w:type="dxa"/>
            <w:right w:w="108" w:type="dxa"/>
          </w:tblCellMar>
        </w:tblPrEx>
        <w:trPr>
          <w:trHeight w:val="3683"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15A1CDC6">
            <w:pPr>
              <w:adjustRightInd w:val="0"/>
              <w:snapToGrid w:val="0"/>
              <w:spacing w:line="240" w:lineRule="atLeast"/>
              <w:jc w:val="center"/>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0C95C6F3">
            <w:pPr>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7A63436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35废气排放</w:t>
            </w:r>
          </w:p>
        </w:tc>
        <w:tc>
          <w:tcPr>
            <w:tcW w:w="975" w:type="dxa"/>
            <w:tcBorders>
              <w:top w:val="nil"/>
              <w:left w:val="nil"/>
              <w:bottom w:val="single" w:color="auto" w:sz="4" w:space="0"/>
              <w:right w:val="single" w:color="auto" w:sz="4" w:space="0"/>
            </w:tcBorders>
            <w:noWrap w:val="0"/>
            <w:vAlign w:val="center"/>
          </w:tcPr>
          <w:p w14:paraId="04AF547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7E9139F0">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①在开采、加工、运输、贮存等环节，采取除尘捕尘、抑尘降尘、净化废气等措施，实现达标排放，开采过程中的大气污染物排放应符合国家或地方相应排放标准。②凿岩作业采用降尘措施、爆破作业喷雾洒水降尘、生产区配置洒水车或喷淋系统定时洒水降尘，对出厂车辆进行清洗，外运产品途中苫盖等。③矿区建筑物上无明显积尘，矿区周边植被无明显粉尘覆盖。对矿区粉尘进行定期监测并形成工作台账。</w:t>
            </w:r>
            <w:r>
              <w:rPr>
                <w:rFonts w:hint="eastAsia" w:ascii="宋体" w:hAnsi="宋体" w:cs="宋体"/>
                <w:color w:val="000000"/>
                <w:kern w:val="0"/>
                <w:szCs w:val="21"/>
              </w:rPr>
              <w:br w:type="textWrapping"/>
            </w:r>
            <w:r>
              <w:rPr>
                <w:rFonts w:hint="eastAsia" w:ascii="宋体" w:hAnsi="宋体" w:cs="宋体"/>
                <w:color w:val="000000"/>
                <w:kern w:val="0"/>
                <w:szCs w:val="21"/>
              </w:rPr>
              <w:t>符合要求得2分，不符合得0分。</w:t>
            </w:r>
          </w:p>
        </w:tc>
        <w:tc>
          <w:tcPr>
            <w:tcW w:w="913" w:type="dxa"/>
            <w:tcBorders>
              <w:top w:val="nil"/>
              <w:left w:val="nil"/>
              <w:bottom w:val="single" w:color="auto" w:sz="4" w:space="0"/>
              <w:right w:val="single" w:color="auto" w:sz="4" w:space="0"/>
            </w:tcBorders>
            <w:noWrap w:val="0"/>
            <w:vAlign w:val="center"/>
          </w:tcPr>
          <w:p w14:paraId="25DE1FE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2D4B3B0D">
            <w:pPr>
              <w:widowControl/>
              <w:adjustRightInd w:val="0"/>
              <w:snapToGrid w:val="0"/>
              <w:spacing w:line="240" w:lineRule="atLeast"/>
              <w:jc w:val="both"/>
              <w:rPr>
                <w:rFonts w:hint="eastAsia" w:ascii="宋体" w:hAnsi="宋体" w:cs="宋体"/>
                <w:color w:val="000000"/>
                <w:kern w:val="0"/>
                <w:sz w:val="18"/>
                <w:szCs w:val="18"/>
              </w:rPr>
            </w:pPr>
            <w:r>
              <w:rPr>
                <w:rFonts w:hint="eastAsia" w:ascii="宋体" w:hAnsi="宋体" w:cs="宋体"/>
                <w:color w:val="000000"/>
                <w:kern w:val="0"/>
                <w:sz w:val="18"/>
                <w:szCs w:val="18"/>
              </w:rPr>
              <w:t xml:space="preserve">国家大气污染物排放标准（GB 4915、GB 9078、GB 16297、GB 20426、GB 25465、GB 25466、GB 25467、GB 25468、GB 26451、GB 28661、GB 30770、GB 41618等）以及云南省人民政府发布实施的地方大气污染物排放标准，符合环评批复相关要求 </w:t>
            </w:r>
          </w:p>
        </w:tc>
        <w:tc>
          <w:tcPr>
            <w:tcW w:w="919" w:type="dxa"/>
            <w:tcBorders>
              <w:top w:val="nil"/>
              <w:left w:val="nil"/>
              <w:bottom w:val="single" w:color="auto" w:sz="4" w:space="0"/>
              <w:right w:val="single" w:color="auto" w:sz="4" w:space="0"/>
            </w:tcBorders>
            <w:noWrap w:val="0"/>
            <w:vAlign w:val="center"/>
          </w:tcPr>
          <w:p w14:paraId="0A005EE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63F4081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163D50E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301D49D">
        <w:tblPrEx>
          <w:tblCellMar>
            <w:top w:w="0" w:type="dxa"/>
            <w:left w:w="108" w:type="dxa"/>
            <w:bottom w:w="0" w:type="dxa"/>
            <w:right w:w="108" w:type="dxa"/>
          </w:tblCellMar>
        </w:tblPrEx>
        <w:trPr>
          <w:trHeight w:val="2336"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31909DC5">
            <w:pPr>
              <w:adjustRightInd w:val="0"/>
              <w:snapToGrid w:val="0"/>
              <w:spacing w:line="240" w:lineRule="atLeast"/>
              <w:jc w:val="center"/>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50C0FD86">
            <w:pPr>
              <w:adjustRightInd w:val="0"/>
              <w:snapToGrid w:val="0"/>
              <w:spacing w:line="240" w:lineRule="atLeast"/>
              <w:jc w:val="center"/>
              <w:rPr>
                <w:rFonts w:hint="eastAsia" w:ascii="宋体" w:hAnsi="宋体" w:eastAsia="等线" w:cs="宋体"/>
                <w:color w:val="000000"/>
                <w:kern w:val="0"/>
                <w:sz w:val="22"/>
              </w:rPr>
            </w:pPr>
          </w:p>
        </w:tc>
        <w:tc>
          <w:tcPr>
            <w:tcW w:w="1245" w:type="dxa"/>
            <w:tcBorders>
              <w:top w:val="nil"/>
              <w:left w:val="nil"/>
              <w:bottom w:val="single" w:color="auto" w:sz="4" w:space="0"/>
              <w:right w:val="single" w:color="auto" w:sz="4" w:space="0"/>
            </w:tcBorders>
            <w:noWrap w:val="0"/>
            <w:vAlign w:val="center"/>
          </w:tcPr>
          <w:p w14:paraId="1494820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36移动源控制</w:t>
            </w:r>
          </w:p>
        </w:tc>
        <w:tc>
          <w:tcPr>
            <w:tcW w:w="975" w:type="dxa"/>
            <w:tcBorders>
              <w:top w:val="nil"/>
              <w:left w:val="nil"/>
              <w:bottom w:val="single" w:color="auto" w:sz="4" w:space="0"/>
              <w:right w:val="single" w:color="auto" w:sz="4" w:space="0"/>
            </w:tcBorders>
            <w:noWrap w:val="0"/>
            <w:vAlign w:val="center"/>
          </w:tcPr>
          <w:p w14:paraId="2F095F3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0E644950">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矿山在采装、运输等环节使用皮带、轨道、新能源等节能、减污设施设备开展工作的，得1分。</w:t>
            </w:r>
          </w:p>
        </w:tc>
        <w:tc>
          <w:tcPr>
            <w:tcW w:w="913" w:type="dxa"/>
            <w:tcBorders>
              <w:top w:val="nil"/>
              <w:left w:val="nil"/>
              <w:bottom w:val="single" w:color="auto" w:sz="4" w:space="0"/>
              <w:right w:val="single" w:color="auto" w:sz="4" w:space="0"/>
            </w:tcBorders>
            <w:noWrap w:val="0"/>
            <w:vAlign w:val="center"/>
          </w:tcPr>
          <w:p w14:paraId="039DE98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0A261B98">
            <w:pPr>
              <w:widowControl/>
              <w:adjustRightInd w:val="0"/>
              <w:snapToGrid w:val="0"/>
              <w:spacing w:line="240" w:lineRule="atLeast"/>
              <w:jc w:val="both"/>
              <w:rPr>
                <w:rFonts w:hint="eastAsia" w:ascii="宋体" w:hAnsi="宋体" w:cs="宋体"/>
                <w:color w:val="000000"/>
                <w:kern w:val="0"/>
                <w:sz w:val="20"/>
                <w:szCs w:val="20"/>
              </w:rPr>
            </w:pPr>
            <w:r>
              <w:rPr>
                <w:rFonts w:hint="eastAsia" w:ascii="宋体" w:hAnsi="宋体" w:cs="宋体"/>
                <w:color w:val="000000"/>
                <w:kern w:val="0"/>
                <w:sz w:val="20"/>
                <w:szCs w:val="20"/>
              </w:rPr>
              <w:t>《深入打好重污染天气消除、臭氧污染防治和柴油货车污染治理攻坚战行动方案》（生态环境部〔2022〕68号公告）</w:t>
            </w:r>
          </w:p>
        </w:tc>
        <w:tc>
          <w:tcPr>
            <w:tcW w:w="919" w:type="dxa"/>
            <w:tcBorders>
              <w:top w:val="nil"/>
              <w:left w:val="nil"/>
              <w:bottom w:val="single" w:color="auto" w:sz="4" w:space="0"/>
              <w:right w:val="single" w:color="auto" w:sz="4" w:space="0"/>
            </w:tcBorders>
            <w:noWrap w:val="0"/>
            <w:vAlign w:val="center"/>
          </w:tcPr>
          <w:p w14:paraId="79661487">
            <w:pPr>
              <w:widowControl/>
              <w:adjustRightInd w:val="0"/>
              <w:snapToGrid w:val="0"/>
              <w:spacing w:line="240" w:lineRule="atLeast"/>
              <w:jc w:val="center"/>
              <w:rPr>
                <w:rFonts w:hint="eastAsia" w:ascii="宋体" w:hAnsi="宋体" w:cs="宋体"/>
                <w:szCs w:val="21"/>
              </w:rPr>
            </w:pPr>
            <w:r>
              <w:rPr>
                <w:rFonts w:hint="eastAsia" w:ascii="宋体" w:hAnsi="宋体" w:cs="宋体"/>
                <w:color w:val="000000"/>
                <w:kern w:val="0"/>
                <w:szCs w:val="21"/>
              </w:rPr>
              <w:t>提升性</w:t>
            </w:r>
          </w:p>
          <w:p w14:paraId="7A40F2FC">
            <w:pPr>
              <w:rPr>
                <w:rFonts w:hint="eastAsia" w:ascii="宋体" w:hAnsi="宋体" w:cs="宋体"/>
                <w:szCs w:val="21"/>
              </w:rPr>
            </w:pPr>
          </w:p>
          <w:p w14:paraId="4CB3115B">
            <w:pPr>
              <w:rPr>
                <w:rFonts w:hint="eastAsia" w:ascii="宋体" w:hAnsi="宋体" w:cs="宋体"/>
                <w:szCs w:val="21"/>
              </w:rPr>
            </w:pPr>
          </w:p>
        </w:tc>
        <w:tc>
          <w:tcPr>
            <w:tcW w:w="709" w:type="dxa"/>
            <w:tcBorders>
              <w:top w:val="nil"/>
              <w:left w:val="nil"/>
              <w:bottom w:val="single" w:color="auto" w:sz="4" w:space="0"/>
              <w:right w:val="single" w:color="auto" w:sz="4" w:space="0"/>
            </w:tcBorders>
            <w:noWrap w:val="0"/>
            <w:vAlign w:val="center"/>
          </w:tcPr>
          <w:p w14:paraId="7915626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02C8DEA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08983A75">
        <w:tblPrEx>
          <w:tblCellMar>
            <w:top w:w="0" w:type="dxa"/>
            <w:left w:w="108" w:type="dxa"/>
            <w:bottom w:w="0" w:type="dxa"/>
            <w:right w:w="108" w:type="dxa"/>
          </w:tblCellMar>
        </w:tblPrEx>
        <w:trPr>
          <w:trHeight w:val="2055"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7D0B693C">
            <w:pPr>
              <w:widowControl/>
              <w:adjustRightInd w:val="0"/>
              <w:snapToGrid w:val="0"/>
              <w:spacing w:line="240" w:lineRule="atLeast"/>
              <w:jc w:val="center"/>
              <w:rPr>
                <w:rFonts w:ascii="宋体" w:hAnsi="宋体" w:eastAsia="等线" w:cs="Calibri"/>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35D63A3C">
            <w:pPr>
              <w:widowControl/>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2DFBF00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37噪声排放</w:t>
            </w:r>
          </w:p>
        </w:tc>
        <w:tc>
          <w:tcPr>
            <w:tcW w:w="975" w:type="dxa"/>
            <w:tcBorders>
              <w:top w:val="nil"/>
              <w:left w:val="nil"/>
              <w:bottom w:val="single" w:color="auto" w:sz="4" w:space="0"/>
              <w:right w:val="single" w:color="auto" w:sz="4" w:space="0"/>
            </w:tcBorders>
            <w:noWrap w:val="0"/>
            <w:vAlign w:val="center"/>
          </w:tcPr>
          <w:p w14:paraId="6D77FFE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nil"/>
              <w:bottom w:val="single" w:color="auto" w:sz="4" w:space="0"/>
              <w:right w:val="single" w:color="auto" w:sz="4" w:space="0"/>
            </w:tcBorders>
            <w:noWrap w:val="0"/>
            <w:vAlign w:val="center"/>
          </w:tcPr>
          <w:p w14:paraId="1851A362">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对矿区凿岩、破碎和空压等高噪声设备进行降噪处理，配备消声、减振和隔振等措施，厂界噪声排放达标。对厂界噪声进行定期监测并形成工作台账。符合要求得1分，不符合得0分。</w:t>
            </w:r>
          </w:p>
        </w:tc>
        <w:tc>
          <w:tcPr>
            <w:tcW w:w="913" w:type="dxa"/>
            <w:tcBorders>
              <w:top w:val="nil"/>
              <w:left w:val="nil"/>
              <w:bottom w:val="single" w:color="auto" w:sz="4" w:space="0"/>
              <w:right w:val="single" w:color="auto" w:sz="4" w:space="0"/>
            </w:tcBorders>
            <w:noWrap w:val="0"/>
            <w:vAlign w:val="center"/>
          </w:tcPr>
          <w:p w14:paraId="0B449B0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3F8C0F8B">
            <w:pPr>
              <w:widowControl/>
              <w:adjustRightInd w:val="0"/>
              <w:snapToGrid w:val="0"/>
              <w:spacing w:line="240" w:lineRule="atLeast"/>
              <w:jc w:val="both"/>
              <w:rPr>
                <w:rFonts w:hint="eastAsia" w:ascii="宋体" w:hAnsi="宋体" w:cs="宋体"/>
                <w:color w:val="000000"/>
                <w:kern w:val="0"/>
                <w:sz w:val="20"/>
                <w:szCs w:val="20"/>
              </w:rPr>
            </w:pPr>
            <w:r>
              <w:rPr>
                <w:rFonts w:hint="eastAsia" w:ascii="宋体" w:hAnsi="宋体" w:cs="宋体"/>
                <w:color w:val="000000"/>
                <w:kern w:val="0"/>
                <w:sz w:val="20"/>
                <w:szCs w:val="20"/>
              </w:rPr>
              <w:t xml:space="preserve">《工业企业厂界环境噪声排放标准》（GB 12348-2008），符合环评批复相关要求 </w:t>
            </w:r>
          </w:p>
        </w:tc>
        <w:tc>
          <w:tcPr>
            <w:tcW w:w="919" w:type="dxa"/>
            <w:tcBorders>
              <w:top w:val="nil"/>
              <w:left w:val="nil"/>
              <w:bottom w:val="single" w:color="auto" w:sz="4" w:space="0"/>
              <w:right w:val="single" w:color="auto" w:sz="4" w:space="0"/>
            </w:tcBorders>
            <w:noWrap w:val="0"/>
            <w:vAlign w:val="center"/>
          </w:tcPr>
          <w:p w14:paraId="05B3C82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65D6500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378188F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27E9CBB8">
        <w:tblPrEx>
          <w:tblCellMar>
            <w:top w:w="0" w:type="dxa"/>
            <w:left w:w="108" w:type="dxa"/>
            <w:bottom w:w="0" w:type="dxa"/>
            <w:right w:w="108" w:type="dxa"/>
          </w:tblCellMar>
        </w:tblPrEx>
        <w:trPr>
          <w:trHeight w:val="4116"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20F68F5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五、生态修复与环境治理（5项，18分）</w:t>
            </w:r>
          </w:p>
          <w:p w14:paraId="49B40881">
            <w:pPr>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1185" w:type="dxa"/>
            <w:vMerge w:val="restart"/>
            <w:tcBorders>
              <w:top w:val="single" w:color="auto" w:sz="4" w:space="0"/>
              <w:left w:val="nil"/>
              <w:bottom w:val="single" w:color="auto" w:sz="4" w:space="0"/>
              <w:right w:val="single" w:color="auto" w:sz="4" w:space="0"/>
            </w:tcBorders>
            <w:noWrap w:val="0"/>
            <w:vAlign w:val="center"/>
          </w:tcPr>
          <w:p w14:paraId="2A22E81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1矿山地质环境治理恢复与土地复垦（7分）</w:t>
            </w:r>
          </w:p>
          <w:p w14:paraId="4E829514">
            <w:pPr>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1245" w:type="dxa"/>
            <w:tcBorders>
              <w:top w:val="nil"/>
              <w:left w:val="nil"/>
              <w:bottom w:val="single" w:color="auto" w:sz="4" w:space="0"/>
              <w:right w:val="single" w:color="auto" w:sz="4" w:space="0"/>
            </w:tcBorders>
            <w:noWrap w:val="0"/>
            <w:vAlign w:val="center"/>
          </w:tcPr>
          <w:p w14:paraId="698B140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38矿山地质环境保护与土地复垦方案编制与执行</w:t>
            </w:r>
          </w:p>
        </w:tc>
        <w:tc>
          <w:tcPr>
            <w:tcW w:w="975" w:type="dxa"/>
            <w:tcBorders>
              <w:top w:val="nil"/>
              <w:left w:val="nil"/>
              <w:bottom w:val="single" w:color="auto" w:sz="4" w:space="0"/>
              <w:right w:val="single" w:color="auto" w:sz="4" w:space="0"/>
            </w:tcBorders>
            <w:noWrap w:val="0"/>
            <w:vAlign w:val="center"/>
          </w:tcPr>
          <w:p w14:paraId="39A9ECE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w:t>
            </w:r>
          </w:p>
        </w:tc>
        <w:tc>
          <w:tcPr>
            <w:tcW w:w="4745" w:type="dxa"/>
            <w:tcBorders>
              <w:top w:val="nil"/>
              <w:left w:val="nil"/>
              <w:bottom w:val="single" w:color="auto" w:sz="4" w:space="0"/>
              <w:right w:val="single" w:color="auto" w:sz="4" w:space="0"/>
            </w:tcBorders>
            <w:noWrap w:val="0"/>
            <w:vAlign w:val="center"/>
          </w:tcPr>
          <w:p w14:paraId="0ECD023B">
            <w:pPr>
              <w:widowControl/>
              <w:adjustRightInd w:val="0"/>
              <w:snapToGrid w:val="0"/>
              <w:spacing w:line="240" w:lineRule="atLeast"/>
              <w:jc w:val="both"/>
              <w:rPr>
                <w:rFonts w:hint="eastAsia" w:ascii="宋体" w:hAnsi="宋体" w:eastAsia="等线" w:cs="宋体"/>
                <w:color w:val="000000"/>
                <w:kern w:val="0"/>
                <w:sz w:val="22"/>
              </w:rPr>
            </w:pPr>
            <w:r>
              <w:rPr>
                <w:rFonts w:hint="eastAsia" w:ascii="宋体" w:hAnsi="宋体" w:cs="宋体"/>
                <w:color w:val="000000"/>
                <w:kern w:val="0"/>
                <w:szCs w:val="21"/>
              </w:rPr>
              <w:t>①《矿山地质环境保护与土地复垦方案》已通过审查并在适用期，得1分；</w:t>
            </w:r>
            <w:r>
              <w:rPr>
                <w:rFonts w:hint="eastAsia" w:ascii="宋体" w:hAnsi="宋体" w:cs="宋体"/>
                <w:color w:val="000000"/>
                <w:kern w:val="0"/>
                <w:szCs w:val="21"/>
              </w:rPr>
              <w:br w:type="textWrapping"/>
            </w:r>
            <w:r>
              <w:rPr>
                <w:rFonts w:hint="eastAsia" w:ascii="宋体" w:hAnsi="宋体" w:cs="宋体"/>
                <w:color w:val="000000"/>
                <w:kern w:val="0"/>
                <w:szCs w:val="21"/>
              </w:rPr>
              <w:t>②依据《矿山地质环境保护与土地复垦方案》编制了年度计划，得1分；</w:t>
            </w:r>
            <w:r>
              <w:rPr>
                <w:rFonts w:hint="eastAsia" w:ascii="宋体" w:hAnsi="宋体" w:cs="宋体"/>
                <w:color w:val="000000"/>
                <w:kern w:val="0"/>
                <w:szCs w:val="21"/>
              </w:rPr>
              <w:br w:type="textWrapping"/>
            </w:r>
            <w:r>
              <w:rPr>
                <w:rFonts w:hint="eastAsia" w:ascii="宋体" w:hAnsi="宋体" w:cs="宋体"/>
                <w:color w:val="000000"/>
                <w:kern w:val="0"/>
                <w:szCs w:val="21"/>
              </w:rPr>
              <w:t>③执行了年度报告制度，得1分；</w:t>
            </w:r>
            <w:r>
              <w:rPr>
                <w:rFonts w:hint="eastAsia" w:ascii="宋体" w:hAnsi="宋体" w:cs="宋体"/>
                <w:color w:val="000000"/>
                <w:kern w:val="0"/>
                <w:szCs w:val="21"/>
              </w:rPr>
              <w:br w:type="textWrapping"/>
            </w:r>
            <w:r>
              <w:rPr>
                <w:rFonts w:hint="eastAsia" w:ascii="宋体" w:hAnsi="宋体" w:cs="宋体"/>
                <w:color w:val="000000"/>
                <w:kern w:val="0"/>
                <w:szCs w:val="21"/>
              </w:rPr>
              <w:t>④矿山地质环境治理恢复、土地复垦质量符合要求，得1分；</w:t>
            </w:r>
            <w:r>
              <w:rPr>
                <w:rFonts w:hint="eastAsia" w:ascii="宋体" w:hAnsi="宋体" w:cs="宋体"/>
                <w:color w:val="000000"/>
                <w:kern w:val="0"/>
                <w:szCs w:val="21"/>
              </w:rPr>
              <w:br w:type="textWrapping"/>
            </w:r>
            <w:r>
              <w:rPr>
                <w:rFonts w:hint="eastAsia" w:ascii="宋体" w:hAnsi="宋体" w:cs="宋体"/>
                <w:color w:val="000000"/>
                <w:kern w:val="0"/>
                <w:szCs w:val="21"/>
              </w:rPr>
              <w:t>⑤完成了年度或阶段性目标任务并通过阶段验收，得1分。</w:t>
            </w:r>
          </w:p>
        </w:tc>
        <w:tc>
          <w:tcPr>
            <w:tcW w:w="913" w:type="dxa"/>
            <w:tcBorders>
              <w:top w:val="nil"/>
              <w:left w:val="nil"/>
              <w:bottom w:val="single" w:color="auto" w:sz="4" w:space="0"/>
              <w:right w:val="single" w:color="auto" w:sz="4" w:space="0"/>
            </w:tcBorders>
            <w:noWrap w:val="0"/>
            <w:vAlign w:val="center"/>
          </w:tcPr>
          <w:p w14:paraId="483AE7A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298F88D1">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《矿山地质环境保护与土地复垦方案》及年度计划、《土地复垦质量控制标准》(TD/T 1036)、《金属矿土地复垦与生态修复技术规范》（GB/T 43933）、《煤矿土地复垦与生态修复技术规范》（GB/T 43934）等标准规范</w:t>
            </w:r>
          </w:p>
        </w:tc>
        <w:tc>
          <w:tcPr>
            <w:tcW w:w="919" w:type="dxa"/>
            <w:tcBorders>
              <w:top w:val="nil"/>
              <w:left w:val="nil"/>
              <w:bottom w:val="single" w:color="auto" w:sz="4" w:space="0"/>
              <w:right w:val="single" w:color="auto" w:sz="4" w:space="0"/>
            </w:tcBorders>
            <w:noWrap w:val="0"/>
            <w:vAlign w:val="center"/>
          </w:tcPr>
          <w:p w14:paraId="26F3E4E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58CB810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9A7863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1DB279AE">
        <w:tblPrEx>
          <w:tblCellMar>
            <w:top w:w="0" w:type="dxa"/>
            <w:left w:w="108" w:type="dxa"/>
            <w:bottom w:w="0" w:type="dxa"/>
            <w:right w:w="108" w:type="dxa"/>
          </w:tblCellMar>
        </w:tblPrEx>
        <w:trPr>
          <w:trHeight w:val="3860"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41BB102E">
            <w:pPr>
              <w:widowControl/>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2CF6FAF3">
            <w:pPr>
              <w:widowControl/>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2A9A44F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39矿山地质环境治理恢复基金计提使用</w:t>
            </w:r>
          </w:p>
        </w:tc>
        <w:tc>
          <w:tcPr>
            <w:tcW w:w="975" w:type="dxa"/>
            <w:tcBorders>
              <w:top w:val="nil"/>
              <w:left w:val="nil"/>
              <w:bottom w:val="single" w:color="auto" w:sz="4" w:space="0"/>
              <w:right w:val="single" w:color="auto" w:sz="4" w:space="0"/>
            </w:tcBorders>
            <w:noWrap w:val="0"/>
            <w:vAlign w:val="center"/>
          </w:tcPr>
          <w:p w14:paraId="04D1E17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69579A23">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按相关规定及标准足额预存土地复垦费用和计提矿山地质环境治理恢复基金并规范使用，统筹用于开展矿山地质环境治理恢复和土地复垦。符合要求得2分，不符合得0分。</w:t>
            </w:r>
          </w:p>
        </w:tc>
        <w:tc>
          <w:tcPr>
            <w:tcW w:w="913" w:type="dxa"/>
            <w:tcBorders>
              <w:top w:val="nil"/>
              <w:left w:val="nil"/>
              <w:bottom w:val="single" w:color="auto" w:sz="4" w:space="0"/>
              <w:right w:val="single" w:color="auto" w:sz="4" w:space="0"/>
            </w:tcBorders>
            <w:noWrap w:val="0"/>
            <w:vAlign w:val="center"/>
          </w:tcPr>
          <w:p w14:paraId="415CC2F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759B7F5F">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《矿山地质环境保护与土地复垦方案》及年度计划、基金监管政策文件及标准规范，其他证明材料等。</w:t>
            </w:r>
          </w:p>
        </w:tc>
        <w:tc>
          <w:tcPr>
            <w:tcW w:w="919" w:type="dxa"/>
            <w:tcBorders>
              <w:top w:val="nil"/>
              <w:left w:val="nil"/>
              <w:bottom w:val="single" w:color="auto" w:sz="4" w:space="0"/>
              <w:right w:val="single" w:color="auto" w:sz="4" w:space="0"/>
            </w:tcBorders>
            <w:noWrap w:val="0"/>
            <w:vAlign w:val="center"/>
          </w:tcPr>
          <w:p w14:paraId="65921B5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62BC070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F26DCD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75094293">
        <w:tblPrEx>
          <w:tblCellMar>
            <w:top w:w="0" w:type="dxa"/>
            <w:left w:w="108" w:type="dxa"/>
            <w:bottom w:w="0" w:type="dxa"/>
            <w:right w:w="108" w:type="dxa"/>
          </w:tblCellMar>
        </w:tblPrEx>
        <w:trPr>
          <w:trHeight w:val="3518" w:hRule="exact"/>
          <w:jc w:val="center"/>
        </w:trPr>
        <w:tc>
          <w:tcPr>
            <w:tcW w:w="1188" w:type="dxa"/>
            <w:vMerge w:val="restart"/>
            <w:tcBorders>
              <w:top w:val="single" w:color="auto" w:sz="4" w:space="0"/>
              <w:left w:val="single" w:color="auto" w:sz="4" w:space="0"/>
              <w:right w:val="single" w:color="auto" w:sz="4" w:space="0"/>
            </w:tcBorders>
            <w:noWrap w:val="0"/>
            <w:vAlign w:val="center"/>
          </w:tcPr>
          <w:p w14:paraId="0838035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五、生态修复与环境治理（5项，18分）</w:t>
            </w:r>
          </w:p>
        </w:tc>
        <w:tc>
          <w:tcPr>
            <w:tcW w:w="1185" w:type="dxa"/>
            <w:tcBorders>
              <w:top w:val="single" w:color="auto" w:sz="4" w:space="0"/>
              <w:left w:val="nil"/>
              <w:bottom w:val="single" w:color="auto" w:sz="4" w:space="0"/>
              <w:right w:val="single" w:color="auto" w:sz="4" w:space="0"/>
            </w:tcBorders>
            <w:noWrap w:val="0"/>
            <w:vAlign w:val="center"/>
          </w:tcPr>
          <w:p w14:paraId="216CAA4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2治理要求（5分）</w:t>
            </w:r>
          </w:p>
        </w:tc>
        <w:tc>
          <w:tcPr>
            <w:tcW w:w="1245" w:type="dxa"/>
            <w:tcBorders>
              <w:top w:val="nil"/>
              <w:left w:val="nil"/>
              <w:bottom w:val="single" w:color="auto" w:sz="4" w:space="0"/>
              <w:right w:val="single" w:color="auto" w:sz="4" w:space="0"/>
            </w:tcBorders>
            <w:noWrap w:val="0"/>
            <w:vAlign w:val="center"/>
          </w:tcPr>
          <w:p w14:paraId="64F4EB6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40治理效果</w:t>
            </w:r>
          </w:p>
        </w:tc>
        <w:tc>
          <w:tcPr>
            <w:tcW w:w="975" w:type="dxa"/>
            <w:tcBorders>
              <w:top w:val="nil"/>
              <w:left w:val="nil"/>
              <w:bottom w:val="single" w:color="auto" w:sz="4" w:space="0"/>
              <w:right w:val="single" w:color="auto" w:sz="4" w:space="0"/>
            </w:tcBorders>
            <w:noWrap w:val="0"/>
            <w:vAlign w:val="center"/>
          </w:tcPr>
          <w:p w14:paraId="43C5AD3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5</w:t>
            </w:r>
          </w:p>
        </w:tc>
        <w:tc>
          <w:tcPr>
            <w:tcW w:w="4745" w:type="dxa"/>
            <w:tcBorders>
              <w:top w:val="nil"/>
              <w:left w:val="nil"/>
              <w:bottom w:val="single" w:color="auto" w:sz="4" w:space="0"/>
              <w:right w:val="single" w:color="auto" w:sz="4" w:space="0"/>
            </w:tcBorders>
            <w:noWrap w:val="0"/>
            <w:vAlign w:val="center"/>
          </w:tcPr>
          <w:p w14:paraId="5E9D113B">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不新设永久排矸场。排土场、尾矿库、露天采场、矿区专用道路、矿山工业场地、塌陷区、废石场等区域生态修复与环境治理符合要求。落实“边开采、边修复”要求，矿山生态修复能够分区、分期进行的，要分区、分期开展。治理后的各类场地对周边环境不产生污染，与周边自然环境相协调，周边水体质量恢复至原水平，区域生态功能得到保护和恢复。符合要求得5分，不符合得0分。</w:t>
            </w:r>
          </w:p>
        </w:tc>
        <w:tc>
          <w:tcPr>
            <w:tcW w:w="913" w:type="dxa"/>
            <w:tcBorders>
              <w:top w:val="nil"/>
              <w:left w:val="nil"/>
              <w:bottom w:val="single" w:color="auto" w:sz="4" w:space="0"/>
              <w:right w:val="single" w:color="auto" w:sz="4" w:space="0"/>
            </w:tcBorders>
            <w:noWrap w:val="0"/>
            <w:vAlign w:val="center"/>
          </w:tcPr>
          <w:p w14:paraId="6F7C857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07D8D23D">
            <w:pPr>
              <w:widowControl/>
              <w:adjustRightInd w:val="0"/>
              <w:snapToGrid w:val="0"/>
              <w:spacing w:line="240" w:lineRule="atLeast"/>
              <w:jc w:val="both"/>
              <w:rPr>
                <w:rFonts w:hint="eastAsia" w:ascii="宋体" w:hAnsi="宋体" w:cs="宋体"/>
                <w:color w:val="000000"/>
                <w:kern w:val="0"/>
                <w:sz w:val="18"/>
                <w:szCs w:val="18"/>
              </w:rPr>
            </w:pPr>
            <w:r>
              <w:rPr>
                <w:rFonts w:hint="eastAsia" w:ascii="宋体" w:hAnsi="宋体" w:cs="宋体"/>
                <w:color w:val="000000"/>
                <w:kern w:val="0"/>
                <w:sz w:val="18"/>
                <w:szCs w:val="18"/>
              </w:rPr>
              <w:t>《矿山生态环境保护与恢复治理技术规范》（HJ 651）、《土地复垦质量控制标准》(TD/T 1036) 、《生态保护修复成效评估技术指南（试行）》（HJ 1272—2022）、《金属矿土地复垦与生态修复技术规范》（GB/T 43933）、《煤矿土地复垦与生态修复技术规范》（GB/T 43934），符合环评批复相关要求 ，其他文件证明材料</w:t>
            </w:r>
          </w:p>
        </w:tc>
        <w:tc>
          <w:tcPr>
            <w:tcW w:w="919" w:type="dxa"/>
            <w:tcBorders>
              <w:top w:val="nil"/>
              <w:left w:val="nil"/>
              <w:bottom w:val="single" w:color="auto" w:sz="4" w:space="0"/>
              <w:right w:val="single" w:color="auto" w:sz="4" w:space="0"/>
            </w:tcBorders>
            <w:noWrap w:val="0"/>
            <w:vAlign w:val="center"/>
          </w:tcPr>
          <w:p w14:paraId="2514DDF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0B1360B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4B2C8C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028D3B16">
        <w:tblPrEx>
          <w:tblCellMar>
            <w:top w:w="0" w:type="dxa"/>
            <w:left w:w="108" w:type="dxa"/>
            <w:bottom w:w="0" w:type="dxa"/>
            <w:right w:w="108" w:type="dxa"/>
          </w:tblCellMar>
        </w:tblPrEx>
        <w:trPr>
          <w:trHeight w:val="2364" w:hRule="atLeast"/>
          <w:jc w:val="center"/>
        </w:trPr>
        <w:tc>
          <w:tcPr>
            <w:tcW w:w="1188" w:type="dxa"/>
            <w:vMerge w:val="continue"/>
            <w:tcBorders>
              <w:left w:val="single" w:color="auto" w:sz="4" w:space="0"/>
              <w:bottom w:val="single" w:color="auto" w:sz="4" w:space="0"/>
              <w:right w:val="single" w:color="auto" w:sz="4" w:space="0"/>
            </w:tcBorders>
            <w:noWrap w:val="0"/>
            <w:vAlign w:val="center"/>
          </w:tcPr>
          <w:p w14:paraId="5620D222">
            <w:pPr>
              <w:widowControl/>
              <w:adjustRightInd w:val="0"/>
              <w:snapToGrid w:val="0"/>
              <w:spacing w:line="240" w:lineRule="atLeast"/>
              <w:jc w:val="center"/>
              <w:rPr>
                <w:rFonts w:ascii="宋体" w:hAnsi="宋体" w:eastAsia="等线" w:cs="Calibri"/>
                <w:color w:val="000000"/>
                <w:kern w:val="0"/>
                <w:szCs w:val="21"/>
              </w:rPr>
            </w:pPr>
          </w:p>
        </w:tc>
        <w:tc>
          <w:tcPr>
            <w:tcW w:w="1185" w:type="dxa"/>
            <w:tcBorders>
              <w:top w:val="nil"/>
              <w:left w:val="nil"/>
              <w:bottom w:val="single" w:color="auto" w:sz="4" w:space="0"/>
              <w:right w:val="single" w:color="auto" w:sz="4" w:space="0"/>
            </w:tcBorders>
            <w:noWrap w:val="0"/>
            <w:vAlign w:val="center"/>
          </w:tcPr>
          <w:p w14:paraId="044C0DB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3矿山环境动态监测（3分）</w:t>
            </w:r>
          </w:p>
        </w:tc>
        <w:tc>
          <w:tcPr>
            <w:tcW w:w="1245" w:type="dxa"/>
            <w:tcBorders>
              <w:top w:val="nil"/>
              <w:left w:val="nil"/>
              <w:bottom w:val="single" w:color="auto" w:sz="4" w:space="0"/>
              <w:right w:val="single" w:color="auto" w:sz="4" w:space="0"/>
            </w:tcBorders>
            <w:noWrap w:val="0"/>
            <w:vAlign w:val="center"/>
          </w:tcPr>
          <w:p w14:paraId="4FAB96C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41动态监测要求</w:t>
            </w:r>
          </w:p>
        </w:tc>
        <w:tc>
          <w:tcPr>
            <w:tcW w:w="975" w:type="dxa"/>
            <w:tcBorders>
              <w:top w:val="nil"/>
              <w:left w:val="nil"/>
              <w:bottom w:val="single" w:color="auto" w:sz="4" w:space="0"/>
              <w:right w:val="single" w:color="auto" w:sz="4" w:space="0"/>
            </w:tcBorders>
            <w:noWrap w:val="0"/>
            <w:vAlign w:val="center"/>
          </w:tcPr>
          <w:p w14:paraId="48C3694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w:t>
            </w:r>
          </w:p>
        </w:tc>
        <w:tc>
          <w:tcPr>
            <w:tcW w:w="4745" w:type="dxa"/>
            <w:tcBorders>
              <w:top w:val="nil"/>
              <w:left w:val="nil"/>
              <w:bottom w:val="single" w:color="auto" w:sz="4" w:space="0"/>
              <w:right w:val="single" w:color="auto" w:sz="4" w:space="0"/>
            </w:tcBorders>
            <w:noWrap w:val="0"/>
            <w:vAlign w:val="center"/>
          </w:tcPr>
          <w:p w14:paraId="07BDD09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建立动态监测体系，对选矿废水、矿井水、尾矿库、矸石山、排土场、废石堆场、地下水等定期进行环境监测，并根据监测结果，采取了有效保护措施。对地质环境破坏与恢复治理、土地损毁与复垦利用、生态系统破坏（退化）与恢复进行了动态监测。符合要求得3分，不符合得0分。</w:t>
            </w:r>
          </w:p>
        </w:tc>
        <w:tc>
          <w:tcPr>
            <w:tcW w:w="913" w:type="dxa"/>
            <w:tcBorders>
              <w:top w:val="nil"/>
              <w:left w:val="nil"/>
              <w:bottom w:val="single" w:color="auto" w:sz="4" w:space="0"/>
              <w:right w:val="single" w:color="auto" w:sz="4" w:space="0"/>
            </w:tcBorders>
            <w:noWrap w:val="0"/>
            <w:vAlign w:val="center"/>
          </w:tcPr>
          <w:p w14:paraId="330FCCF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446755DB">
            <w:pPr>
              <w:widowControl/>
              <w:adjustRightInd w:val="0"/>
              <w:snapToGrid w:val="0"/>
              <w:spacing w:line="240" w:lineRule="atLeast"/>
              <w:jc w:val="both"/>
              <w:rPr>
                <w:rFonts w:hint="eastAsia" w:ascii="宋体" w:hAnsi="宋体" w:cs="宋体"/>
                <w:color w:val="000000"/>
                <w:kern w:val="0"/>
                <w:sz w:val="18"/>
                <w:szCs w:val="18"/>
              </w:rPr>
            </w:pPr>
            <w:r>
              <w:rPr>
                <w:rFonts w:hint="eastAsia" w:ascii="宋体" w:hAnsi="宋体" w:cs="宋体"/>
                <w:color w:val="000000"/>
                <w:kern w:val="0"/>
                <w:sz w:val="18"/>
                <w:szCs w:val="18"/>
              </w:rPr>
              <w:t xml:space="preserve">监测记录，《生态保护修复成效评估技术指南（试行）》（HJ 1272—2022）、《矿山土地复垦与生态修复监测评价技术规范》（GB/T 43935）等相关标准规范或其他证明材料，符合环评批复相关要求 </w:t>
            </w:r>
          </w:p>
        </w:tc>
        <w:tc>
          <w:tcPr>
            <w:tcW w:w="919" w:type="dxa"/>
            <w:tcBorders>
              <w:top w:val="nil"/>
              <w:left w:val="nil"/>
              <w:bottom w:val="single" w:color="auto" w:sz="4" w:space="0"/>
              <w:right w:val="single" w:color="auto" w:sz="4" w:space="0"/>
            </w:tcBorders>
            <w:noWrap w:val="0"/>
            <w:vAlign w:val="center"/>
          </w:tcPr>
          <w:p w14:paraId="2CDF75B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1A8664B6">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33E3270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1DF1785F">
        <w:tblPrEx>
          <w:tblCellMar>
            <w:top w:w="0" w:type="dxa"/>
            <w:left w:w="108" w:type="dxa"/>
            <w:bottom w:w="0" w:type="dxa"/>
            <w:right w:w="108" w:type="dxa"/>
          </w:tblCellMar>
        </w:tblPrEx>
        <w:trPr>
          <w:trHeight w:val="2109" w:hRule="exac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050A13DF">
            <w:pPr>
              <w:widowControl/>
              <w:adjustRightInd w:val="0"/>
              <w:snapToGrid w:val="0"/>
              <w:spacing w:line="240" w:lineRule="atLeast"/>
              <w:jc w:val="left"/>
              <w:rPr>
                <w:rFonts w:ascii="宋体" w:hAnsi="宋体" w:eastAsia="等线" w:cs="Calibri"/>
                <w:color w:val="000000"/>
                <w:kern w:val="0"/>
                <w:szCs w:val="21"/>
              </w:rPr>
            </w:pPr>
          </w:p>
        </w:tc>
        <w:tc>
          <w:tcPr>
            <w:tcW w:w="1185" w:type="dxa"/>
            <w:tcBorders>
              <w:top w:val="single" w:color="auto" w:sz="4" w:space="0"/>
              <w:left w:val="nil"/>
              <w:bottom w:val="single" w:color="auto" w:sz="4" w:space="0"/>
              <w:right w:val="single" w:color="auto" w:sz="4" w:space="0"/>
            </w:tcBorders>
            <w:noWrap w:val="0"/>
            <w:vAlign w:val="center"/>
          </w:tcPr>
          <w:p w14:paraId="5CE1CC4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4环境管理体系（3分）</w:t>
            </w:r>
          </w:p>
        </w:tc>
        <w:tc>
          <w:tcPr>
            <w:tcW w:w="1245" w:type="dxa"/>
            <w:tcBorders>
              <w:top w:val="nil"/>
              <w:left w:val="nil"/>
              <w:bottom w:val="single" w:color="auto" w:sz="4" w:space="0"/>
              <w:right w:val="single" w:color="auto" w:sz="4" w:space="0"/>
            </w:tcBorders>
            <w:noWrap w:val="0"/>
            <w:vAlign w:val="center"/>
          </w:tcPr>
          <w:p w14:paraId="2F6EE09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42环境管理体系要求</w:t>
            </w:r>
          </w:p>
        </w:tc>
        <w:tc>
          <w:tcPr>
            <w:tcW w:w="975" w:type="dxa"/>
            <w:tcBorders>
              <w:top w:val="nil"/>
              <w:left w:val="nil"/>
              <w:bottom w:val="single" w:color="auto" w:sz="4" w:space="0"/>
              <w:right w:val="single" w:color="auto" w:sz="4" w:space="0"/>
            </w:tcBorders>
            <w:noWrap w:val="0"/>
            <w:vAlign w:val="center"/>
          </w:tcPr>
          <w:p w14:paraId="0A68B24C">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w:t>
            </w:r>
          </w:p>
        </w:tc>
        <w:tc>
          <w:tcPr>
            <w:tcW w:w="4745" w:type="dxa"/>
            <w:tcBorders>
              <w:top w:val="nil"/>
              <w:left w:val="nil"/>
              <w:bottom w:val="single" w:color="auto" w:sz="4" w:space="0"/>
              <w:right w:val="single" w:color="auto" w:sz="4" w:space="0"/>
            </w:tcBorders>
            <w:noWrap w:val="0"/>
            <w:vAlign w:val="center"/>
          </w:tcPr>
          <w:p w14:paraId="59B257C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建立环境管理机制，有完善的环境管理制度，配备了必要的环境管理机构和生态环境保护等专业技术人员，得1分。有环境管理日常监管记录，采取了环境风险防范措施，得1分。获得环境管理体系认证，得1分。</w:t>
            </w:r>
          </w:p>
        </w:tc>
        <w:tc>
          <w:tcPr>
            <w:tcW w:w="913" w:type="dxa"/>
            <w:tcBorders>
              <w:top w:val="nil"/>
              <w:left w:val="nil"/>
              <w:bottom w:val="single" w:color="auto" w:sz="4" w:space="0"/>
              <w:right w:val="single" w:color="auto" w:sz="4" w:space="0"/>
            </w:tcBorders>
            <w:noWrap w:val="0"/>
            <w:vAlign w:val="center"/>
          </w:tcPr>
          <w:p w14:paraId="151A25C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34DC5E3D">
            <w:pPr>
              <w:widowControl/>
              <w:adjustRightInd w:val="0"/>
              <w:snapToGrid w:val="0"/>
              <w:spacing w:line="240" w:lineRule="atLeast"/>
              <w:jc w:val="both"/>
              <w:rPr>
                <w:rFonts w:hint="eastAsia" w:ascii="宋体" w:hAnsi="宋体" w:cs="宋体"/>
                <w:color w:val="000000"/>
                <w:kern w:val="0"/>
                <w:sz w:val="18"/>
                <w:szCs w:val="18"/>
              </w:rPr>
            </w:pPr>
            <w:r>
              <w:rPr>
                <w:rFonts w:hint="eastAsia" w:ascii="宋体" w:hAnsi="宋体" w:cs="宋体"/>
                <w:color w:val="000000"/>
                <w:kern w:val="0"/>
                <w:sz w:val="18"/>
                <w:szCs w:val="18"/>
              </w:rPr>
              <w:t>环境管理制度、突发事件预案、认证证书，《生态保护修复成效评估技术指南（试行）》（HJ 1272—2022）</w:t>
            </w:r>
          </w:p>
        </w:tc>
        <w:tc>
          <w:tcPr>
            <w:tcW w:w="919" w:type="dxa"/>
            <w:tcBorders>
              <w:top w:val="nil"/>
              <w:left w:val="nil"/>
              <w:bottom w:val="single" w:color="auto" w:sz="4" w:space="0"/>
              <w:right w:val="single" w:color="auto" w:sz="4" w:space="0"/>
            </w:tcBorders>
            <w:noWrap w:val="0"/>
            <w:vAlign w:val="center"/>
          </w:tcPr>
          <w:p w14:paraId="4D7B8B0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1653067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4DFBCC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35AC6880">
        <w:tblPrEx>
          <w:tblCellMar>
            <w:top w:w="0" w:type="dxa"/>
            <w:left w:w="108" w:type="dxa"/>
            <w:bottom w:w="0" w:type="dxa"/>
            <w:right w:w="108" w:type="dxa"/>
          </w:tblCellMar>
        </w:tblPrEx>
        <w:trPr>
          <w:trHeight w:val="2419" w:hRule="atLeast"/>
          <w:jc w:val="center"/>
        </w:trPr>
        <w:tc>
          <w:tcPr>
            <w:tcW w:w="1188" w:type="dxa"/>
            <w:vMerge w:val="restart"/>
            <w:tcBorders>
              <w:top w:val="single" w:color="auto" w:sz="4" w:space="0"/>
              <w:left w:val="single" w:color="auto" w:sz="4" w:space="0"/>
              <w:right w:val="single" w:color="auto" w:sz="4" w:space="0"/>
            </w:tcBorders>
            <w:noWrap w:val="0"/>
            <w:vAlign w:val="center"/>
          </w:tcPr>
          <w:p w14:paraId="3525D4E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六、科技创新与规范管理（7项，12分）</w:t>
            </w:r>
            <w:r>
              <w:rPr>
                <w:rFonts w:hint="eastAsia" w:ascii="宋体" w:hAnsi="宋体" w:eastAsia="等线" w:cs="宋体"/>
                <w:color w:val="000000"/>
                <w:kern w:val="0"/>
                <w:sz w:val="22"/>
              </w:rPr>
              <w:t>　</w:t>
            </w:r>
          </w:p>
        </w:tc>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14:paraId="6027F06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1科技创新（3分）</w:t>
            </w:r>
          </w:p>
        </w:tc>
        <w:tc>
          <w:tcPr>
            <w:tcW w:w="1245" w:type="dxa"/>
            <w:tcBorders>
              <w:top w:val="nil"/>
              <w:left w:val="nil"/>
              <w:bottom w:val="single" w:color="auto" w:sz="4" w:space="0"/>
              <w:right w:val="single" w:color="auto" w:sz="4" w:space="0"/>
            </w:tcBorders>
            <w:noWrap w:val="0"/>
            <w:vAlign w:val="center"/>
          </w:tcPr>
          <w:p w14:paraId="6C71254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43研发及技改投入</w:t>
            </w:r>
          </w:p>
        </w:tc>
        <w:tc>
          <w:tcPr>
            <w:tcW w:w="975" w:type="dxa"/>
            <w:tcBorders>
              <w:top w:val="nil"/>
              <w:left w:val="nil"/>
              <w:bottom w:val="single" w:color="auto" w:sz="4" w:space="0"/>
              <w:right w:val="single" w:color="auto" w:sz="4" w:space="0"/>
            </w:tcBorders>
            <w:noWrap w:val="0"/>
            <w:vAlign w:val="center"/>
          </w:tcPr>
          <w:p w14:paraId="01B45B6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1.5</w:t>
            </w:r>
          </w:p>
        </w:tc>
        <w:tc>
          <w:tcPr>
            <w:tcW w:w="4745" w:type="dxa"/>
            <w:tcBorders>
              <w:top w:val="nil"/>
              <w:left w:val="nil"/>
              <w:bottom w:val="single" w:color="auto" w:sz="4" w:space="0"/>
              <w:right w:val="single" w:color="auto" w:sz="4" w:space="0"/>
            </w:tcBorders>
            <w:noWrap w:val="0"/>
            <w:vAlign w:val="center"/>
          </w:tcPr>
          <w:p w14:paraId="71D5652A">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①具有技术研发队伍和专业技术人员，得0.5分；</w:t>
            </w:r>
            <w:r>
              <w:rPr>
                <w:rFonts w:hint="eastAsia" w:ascii="宋体" w:hAnsi="宋体" w:cs="宋体"/>
                <w:color w:val="000000"/>
                <w:kern w:val="0"/>
                <w:szCs w:val="21"/>
              </w:rPr>
              <w:br w:type="textWrapping"/>
            </w:r>
            <w:r>
              <w:rPr>
                <w:rFonts w:hint="eastAsia" w:ascii="宋体" w:hAnsi="宋体" w:cs="宋体"/>
                <w:color w:val="000000"/>
                <w:kern w:val="0"/>
                <w:szCs w:val="21"/>
              </w:rPr>
              <w:t>②研发及技改投入不低于上年度主营业务收入的1.5%，得0.5分；</w:t>
            </w:r>
            <w:r>
              <w:rPr>
                <w:rFonts w:hint="eastAsia" w:ascii="宋体" w:hAnsi="宋体" w:cs="宋体"/>
                <w:color w:val="000000"/>
                <w:kern w:val="0"/>
                <w:szCs w:val="21"/>
              </w:rPr>
              <w:br w:type="textWrapping"/>
            </w:r>
            <w:r>
              <w:rPr>
                <w:rFonts w:hint="eastAsia" w:ascii="宋体" w:hAnsi="宋体" w:cs="宋体"/>
                <w:color w:val="000000"/>
                <w:kern w:val="0"/>
                <w:szCs w:val="21"/>
              </w:rPr>
              <w:t>③完成环评要求的专项研究，得0.5分（若环评未提出专项研究要求，此小项直接得0.5分）。</w:t>
            </w:r>
          </w:p>
        </w:tc>
        <w:tc>
          <w:tcPr>
            <w:tcW w:w="913" w:type="dxa"/>
            <w:tcBorders>
              <w:top w:val="nil"/>
              <w:left w:val="nil"/>
              <w:bottom w:val="single" w:color="auto" w:sz="4" w:space="0"/>
              <w:right w:val="single" w:color="auto" w:sz="4" w:space="0"/>
            </w:tcBorders>
            <w:noWrap w:val="0"/>
            <w:vAlign w:val="center"/>
          </w:tcPr>
          <w:p w14:paraId="0C13465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01176865">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生产报表（调度报表）或其他证明材料</w:t>
            </w:r>
          </w:p>
        </w:tc>
        <w:tc>
          <w:tcPr>
            <w:tcW w:w="919" w:type="dxa"/>
            <w:tcBorders>
              <w:top w:val="nil"/>
              <w:left w:val="nil"/>
              <w:bottom w:val="single" w:color="auto" w:sz="4" w:space="0"/>
              <w:right w:val="single" w:color="auto" w:sz="4" w:space="0"/>
            </w:tcBorders>
            <w:noWrap w:val="0"/>
            <w:vAlign w:val="center"/>
          </w:tcPr>
          <w:p w14:paraId="781F6B0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18E41A6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5589B8B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6B09A16A">
        <w:tblPrEx>
          <w:tblCellMar>
            <w:top w:w="0" w:type="dxa"/>
            <w:left w:w="108" w:type="dxa"/>
            <w:bottom w:w="0" w:type="dxa"/>
            <w:right w:w="108" w:type="dxa"/>
          </w:tblCellMar>
        </w:tblPrEx>
        <w:trPr>
          <w:trHeight w:val="2116" w:hRule="atLeast"/>
          <w:jc w:val="center"/>
        </w:trPr>
        <w:tc>
          <w:tcPr>
            <w:tcW w:w="1188" w:type="dxa"/>
            <w:vMerge w:val="continue"/>
            <w:tcBorders>
              <w:left w:val="single" w:color="auto" w:sz="4" w:space="0"/>
              <w:right w:val="single" w:color="auto" w:sz="4" w:space="0"/>
            </w:tcBorders>
            <w:noWrap w:val="0"/>
            <w:vAlign w:val="center"/>
          </w:tcPr>
          <w:p w14:paraId="7AFE7BC2">
            <w:pPr>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nil"/>
              <w:left w:val="single" w:color="auto" w:sz="4" w:space="0"/>
              <w:bottom w:val="single" w:color="auto" w:sz="4" w:space="0"/>
              <w:right w:val="single" w:color="auto" w:sz="4" w:space="0"/>
            </w:tcBorders>
            <w:noWrap w:val="0"/>
            <w:vAlign w:val="center"/>
          </w:tcPr>
          <w:p w14:paraId="1CF15198">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650EE61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44创新成果</w:t>
            </w:r>
          </w:p>
        </w:tc>
        <w:tc>
          <w:tcPr>
            <w:tcW w:w="975" w:type="dxa"/>
            <w:tcBorders>
              <w:top w:val="nil"/>
              <w:left w:val="nil"/>
              <w:bottom w:val="single" w:color="auto" w:sz="4" w:space="0"/>
              <w:right w:val="single" w:color="auto" w:sz="4" w:space="0"/>
            </w:tcBorders>
            <w:noWrap w:val="0"/>
            <w:vAlign w:val="center"/>
          </w:tcPr>
          <w:p w14:paraId="765CA90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1.5</w:t>
            </w:r>
          </w:p>
        </w:tc>
        <w:tc>
          <w:tcPr>
            <w:tcW w:w="4745" w:type="dxa"/>
            <w:tcBorders>
              <w:top w:val="nil"/>
              <w:left w:val="nil"/>
              <w:bottom w:val="single" w:color="auto" w:sz="4" w:space="0"/>
              <w:right w:val="single" w:color="auto" w:sz="4" w:space="0"/>
            </w:tcBorders>
            <w:noWrap w:val="0"/>
            <w:vAlign w:val="center"/>
          </w:tcPr>
          <w:p w14:paraId="599F165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获得1项发明专利得0.5分；入选《节地技术和节地模式推荐目录》或最新版《矿产资源节约和综合利用先进适用技术目录》、《国家重点推广的低碳技术目录》1项得0.5分；获得高新技术企业证书，得0.5分。最多得1.5分。</w:t>
            </w:r>
          </w:p>
        </w:tc>
        <w:tc>
          <w:tcPr>
            <w:tcW w:w="913" w:type="dxa"/>
            <w:tcBorders>
              <w:top w:val="nil"/>
              <w:left w:val="nil"/>
              <w:bottom w:val="single" w:color="auto" w:sz="4" w:space="0"/>
              <w:right w:val="single" w:color="auto" w:sz="4" w:space="0"/>
            </w:tcBorders>
            <w:noWrap w:val="0"/>
            <w:vAlign w:val="center"/>
          </w:tcPr>
          <w:p w14:paraId="2539806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59377BD6">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证书或其他证明材料</w:t>
            </w:r>
          </w:p>
        </w:tc>
        <w:tc>
          <w:tcPr>
            <w:tcW w:w="919" w:type="dxa"/>
            <w:tcBorders>
              <w:top w:val="nil"/>
              <w:left w:val="nil"/>
              <w:bottom w:val="single" w:color="auto" w:sz="4" w:space="0"/>
              <w:right w:val="single" w:color="auto" w:sz="4" w:space="0"/>
            </w:tcBorders>
            <w:noWrap w:val="0"/>
            <w:vAlign w:val="center"/>
          </w:tcPr>
          <w:p w14:paraId="4826CA4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30B88D4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536500F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614E88AD">
        <w:tblPrEx>
          <w:tblCellMar>
            <w:top w:w="0" w:type="dxa"/>
            <w:left w:w="108" w:type="dxa"/>
            <w:bottom w:w="0" w:type="dxa"/>
            <w:right w:w="108" w:type="dxa"/>
          </w:tblCellMar>
        </w:tblPrEx>
        <w:trPr>
          <w:trHeight w:val="1859" w:hRule="atLeast"/>
          <w:jc w:val="center"/>
        </w:trPr>
        <w:tc>
          <w:tcPr>
            <w:tcW w:w="1188" w:type="dxa"/>
            <w:vMerge w:val="continue"/>
            <w:tcBorders>
              <w:left w:val="single" w:color="auto" w:sz="4" w:space="0"/>
              <w:bottom w:val="single" w:color="auto" w:sz="4" w:space="0"/>
              <w:right w:val="single" w:color="auto" w:sz="4" w:space="0"/>
            </w:tcBorders>
            <w:noWrap w:val="0"/>
            <w:vAlign w:val="center"/>
          </w:tcPr>
          <w:p w14:paraId="2860E6C3">
            <w:pPr>
              <w:adjustRightInd w:val="0"/>
              <w:snapToGrid w:val="0"/>
              <w:spacing w:line="240" w:lineRule="atLeast"/>
              <w:jc w:val="center"/>
              <w:rPr>
                <w:rFonts w:hint="eastAsia" w:ascii="宋体" w:hAnsi="宋体" w:cs="宋体"/>
                <w:color w:val="000000"/>
                <w:kern w:val="0"/>
                <w:szCs w:val="21"/>
              </w:rPr>
            </w:pPr>
          </w:p>
        </w:tc>
        <w:tc>
          <w:tcPr>
            <w:tcW w:w="1185" w:type="dxa"/>
            <w:vMerge w:val="restart"/>
            <w:tcBorders>
              <w:top w:val="nil"/>
              <w:left w:val="single" w:color="auto" w:sz="4" w:space="0"/>
              <w:bottom w:val="single" w:color="auto" w:sz="4" w:space="0"/>
              <w:right w:val="single" w:color="auto" w:sz="4" w:space="0"/>
            </w:tcBorders>
            <w:noWrap w:val="0"/>
            <w:vAlign w:val="center"/>
          </w:tcPr>
          <w:p w14:paraId="463A6BA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2数字化矿山（4分）</w:t>
            </w:r>
          </w:p>
        </w:tc>
        <w:tc>
          <w:tcPr>
            <w:tcW w:w="1245" w:type="dxa"/>
            <w:tcBorders>
              <w:top w:val="nil"/>
              <w:left w:val="nil"/>
              <w:bottom w:val="single" w:color="auto" w:sz="4" w:space="0"/>
              <w:right w:val="single" w:color="auto" w:sz="4" w:space="0"/>
            </w:tcBorders>
            <w:noWrap w:val="0"/>
            <w:vAlign w:val="center"/>
          </w:tcPr>
          <w:p w14:paraId="68A36FD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45集中管控平台</w:t>
            </w:r>
          </w:p>
        </w:tc>
        <w:tc>
          <w:tcPr>
            <w:tcW w:w="975" w:type="dxa"/>
            <w:tcBorders>
              <w:top w:val="nil"/>
              <w:left w:val="nil"/>
              <w:bottom w:val="single" w:color="auto" w:sz="4" w:space="0"/>
              <w:right w:val="single" w:color="auto" w:sz="4" w:space="0"/>
            </w:tcBorders>
            <w:noWrap w:val="0"/>
            <w:vAlign w:val="center"/>
          </w:tcPr>
          <w:p w14:paraId="34010587">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70532DAA">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建设集中管控平台，能够将远程监控系统、自动控制系统、储量管理系统、生态环境监测管理系统等集中在大屏幕展示。符合要求得2分，发现一项不符合扣0.5分。</w:t>
            </w:r>
          </w:p>
        </w:tc>
        <w:tc>
          <w:tcPr>
            <w:tcW w:w="913" w:type="dxa"/>
            <w:tcBorders>
              <w:top w:val="nil"/>
              <w:left w:val="nil"/>
              <w:bottom w:val="single" w:color="auto" w:sz="4" w:space="0"/>
              <w:right w:val="single" w:color="auto" w:sz="4" w:space="0"/>
            </w:tcBorders>
            <w:noWrap w:val="0"/>
            <w:vAlign w:val="center"/>
          </w:tcPr>
          <w:p w14:paraId="4AB9E9C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527EF2CA">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　</w:t>
            </w:r>
          </w:p>
        </w:tc>
        <w:tc>
          <w:tcPr>
            <w:tcW w:w="919" w:type="dxa"/>
            <w:tcBorders>
              <w:top w:val="nil"/>
              <w:left w:val="nil"/>
              <w:bottom w:val="single" w:color="auto" w:sz="4" w:space="0"/>
              <w:right w:val="single" w:color="auto" w:sz="4" w:space="0"/>
            </w:tcBorders>
            <w:noWrap w:val="0"/>
            <w:vAlign w:val="center"/>
          </w:tcPr>
          <w:p w14:paraId="37697F9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07BF6925">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402B80A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28C713F">
        <w:tblPrEx>
          <w:tblCellMar>
            <w:top w:w="0" w:type="dxa"/>
            <w:left w:w="108" w:type="dxa"/>
            <w:bottom w:w="0" w:type="dxa"/>
            <w:right w:w="108" w:type="dxa"/>
          </w:tblCellMar>
        </w:tblPrEx>
        <w:trPr>
          <w:trHeight w:val="1692"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339A959C">
            <w:pPr>
              <w:adjustRightInd w:val="0"/>
              <w:snapToGrid w:val="0"/>
              <w:spacing w:line="240" w:lineRule="atLeast"/>
              <w:jc w:val="center"/>
              <w:rPr>
                <w:rFonts w:hint="eastAsia" w:ascii="宋体" w:hAnsi="宋体" w:cs="宋体"/>
                <w:color w:val="000000"/>
                <w:kern w:val="0"/>
                <w:szCs w:val="21"/>
              </w:rPr>
            </w:pPr>
          </w:p>
        </w:tc>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14:paraId="4E743F47">
            <w:pPr>
              <w:widowControl/>
              <w:adjustRightInd w:val="0"/>
              <w:snapToGrid w:val="0"/>
              <w:spacing w:line="240" w:lineRule="atLeast"/>
              <w:jc w:val="left"/>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31192B7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46智能化应用</w:t>
            </w:r>
          </w:p>
        </w:tc>
        <w:tc>
          <w:tcPr>
            <w:tcW w:w="975" w:type="dxa"/>
            <w:tcBorders>
              <w:top w:val="nil"/>
              <w:left w:val="nil"/>
              <w:bottom w:val="single" w:color="auto" w:sz="4" w:space="0"/>
              <w:right w:val="single" w:color="auto" w:sz="4" w:space="0"/>
            </w:tcBorders>
            <w:noWrap w:val="0"/>
            <w:vAlign w:val="center"/>
          </w:tcPr>
          <w:p w14:paraId="2051009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3AAE0110">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按照《智能矿山建设规范》（DZ/T 0376-2021）等标准开展智能矿山建设。符合要求得2分。</w:t>
            </w:r>
          </w:p>
        </w:tc>
        <w:tc>
          <w:tcPr>
            <w:tcW w:w="913" w:type="dxa"/>
            <w:tcBorders>
              <w:top w:val="nil"/>
              <w:left w:val="nil"/>
              <w:bottom w:val="single" w:color="auto" w:sz="4" w:space="0"/>
              <w:right w:val="single" w:color="auto" w:sz="4" w:space="0"/>
            </w:tcBorders>
            <w:noWrap w:val="0"/>
            <w:vAlign w:val="center"/>
          </w:tcPr>
          <w:p w14:paraId="6B9E5E9E">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w:t>
            </w:r>
          </w:p>
        </w:tc>
        <w:tc>
          <w:tcPr>
            <w:tcW w:w="2307" w:type="dxa"/>
            <w:tcBorders>
              <w:top w:val="nil"/>
              <w:left w:val="nil"/>
              <w:bottom w:val="single" w:color="auto" w:sz="4" w:space="0"/>
              <w:right w:val="single" w:color="auto" w:sz="4" w:space="0"/>
            </w:tcBorders>
            <w:noWrap w:val="0"/>
            <w:vAlign w:val="center"/>
          </w:tcPr>
          <w:p w14:paraId="7EE840C7">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《智能矿山建设规范》（DZ/T 0376-2021）</w:t>
            </w:r>
          </w:p>
        </w:tc>
        <w:tc>
          <w:tcPr>
            <w:tcW w:w="919" w:type="dxa"/>
            <w:tcBorders>
              <w:top w:val="nil"/>
              <w:left w:val="nil"/>
              <w:bottom w:val="single" w:color="auto" w:sz="4" w:space="0"/>
              <w:right w:val="single" w:color="auto" w:sz="4" w:space="0"/>
            </w:tcBorders>
            <w:noWrap w:val="0"/>
            <w:vAlign w:val="center"/>
          </w:tcPr>
          <w:p w14:paraId="034CF77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nil"/>
              <w:bottom w:val="single" w:color="auto" w:sz="4" w:space="0"/>
              <w:right w:val="single" w:color="auto" w:sz="4" w:space="0"/>
            </w:tcBorders>
            <w:noWrap w:val="0"/>
            <w:vAlign w:val="center"/>
          </w:tcPr>
          <w:p w14:paraId="385124C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7AE09BBB">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0B46F1CD">
        <w:tblPrEx>
          <w:tblCellMar>
            <w:top w:w="0" w:type="dxa"/>
            <w:left w:w="108" w:type="dxa"/>
            <w:bottom w:w="0" w:type="dxa"/>
            <w:right w:w="108" w:type="dxa"/>
          </w:tblCellMar>
        </w:tblPrEx>
        <w:trPr>
          <w:trHeight w:val="2924"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0B88BD98">
            <w:pPr>
              <w:adjustRightInd w:val="0"/>
              <w:snapToGrid w:val="0"/>
              <w:spacing w:line="240" w:lineRule="atLeast"/>
              <w:jc w:val="center"/>
              <w:rPr>
                <w:rFonts w:hint="eastAsia" w:ascii="宋体" w:hAnsi="宋体" w:cs="宋体"/>
                <w:color w:val="000000"/>
                <w:kern w:val="0"/>
                <w:szCs w:val="21"/>
              </w:rPr>
            </w:pPr>
          </w:p>
        </w:tc>
        <w:tc>
          <w:tcPr>
            <w:tcW w:w="1185" w:type="dxa"/>
            <w:vMerge w:val="restart"/>
            <w:tcBorders>
              <w:top w:val="single" w:color="auto" w:sz="4" w:space="0"/>
              <w:left w:val="nil"/>
              <w:bottom w:val="single" w:color="auto" w:sz="4" w:space="0"/>
              <w:right w:val="single" w:color="auto" w:sz="4" w:space="0"/>
            </w:tcBorders>
            <w:noWrap w:val="0"/>
            <w:vAlign w:val="center"/>
          </w:tcPr>
          <w:p w14:paraId="19820F71">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3规范管理（5分）　</w:t>
            </w:r>
          </w:p>
        </w:tc>
        <w:tc>
          <w:tcPr>
            <w:tcW w:w="1245" w:type="dxa"/>
            <w:tcBorders>
              <w:top w:val="nil"/>
              <w:left w:val="single" w:color="auto" w:sz="4" w:space="0"/>
              <w:bottom w:val="single" w:color="auto" w:sz="4" w:space="0"/>
              <w:right w:val="single" w:color="auto" w:sz="4" w:space="0"/>
            </w:tcBorders>
            <w:noWrap w:val="0"/>
            <w:vAlign w:val="center"/>
          </w:tcPr>
          <w:p w14:paraId="5E867AE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47企业文化</w:t>
            </w:r>
          </w:p>
        </w:tc>
        <w:tc>
          <w:tcPr>
            <w:tcW w:w="975" w:type="dxa"/>
            <w:tcBorders>
              <w:top w:val="nil"/>
              <w:left w:val="single" w:color="auto" w:sz="4" w:space="0"/>
              <w:bottom w:val="single" w:color="auto" w:sz="4" w:space="0"/>
              <w:right w:val="single" w:color="auto" w:sz="4" w:space="0"/>
            </w:tcBorders>
            <w:noWrap w:val="0"/>
            <w:vAlign w:val="center"/>
          </w:tcPr>
          <w:p w14:paraId="536A297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1</w:t>
            </w:r>
          </w:p>
        </w:tc>
        <w:tc>
          <w:tcPr>
            <w:tcW w:w="4745" w:type="dxa"/>
            <w:tcBorders>
              <w:top w:val="nil"/>
              <w:left w:val="single" w:color="auto" w:sz="4" w:space="0"/>
              <w:bottom w:val="single" w:color="auto" w:sz="4" w:space="0"/>
              <w:right w:val="single" w:color="auto" w:sz="4" w:space="0"/>
            </w:tcBorders>
            <w:noWrap w:val="0"/>
            <w:vAlign w:val="center"/>
          </w:tcPr>
          <w:p w14:paraId="27BFF922">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制定绿色矿山建设年度计划，定期开展自评。制作绿色矿山宣传展板、标语和宣传片；建立人员目视化管理制度；建立职工收入随企业业绩同步增长机制；建设职工休闲、娱乐、文化体育设施并开展活动；职工满意度不低于70%。符合要求得1分，发现一项不符合扣0.2分。</w:t>
            </w:r>
          </w:p>
        </w:tc>
        <w:tc>
          <w:tcPr>
            <w:tcW w:w="913" w:type="dxa"/>
            <w:tcBorders>
              <w:top w:val="nil"/>
              <w:left w:val="single" w:color="auto" w:sz="4" w:space="0"/>
              <w:bottom w:val="single" w:color="auto" w:sz="4" w:space="0"/>
              <w:right w:val="single" w:color="auto" w:sz="4" w:space="0"/>
            </w:tcBorders>
            <w:noWrap w:val="0"/>
            <w:vAlign w:val="center"/>
          </w:tcPr>
          <w:p w14:paraId="3C622EC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查资料、查现场、调查走访</w:t>
            </w:r>
          </w:p>
        </w:tc>
        <w:tc>
          <w:tcPr>
            <w:tcW w:w="2307" w:type="dxa"/>
            <w:tcBorders>
              <w:top w:val="nil"/>
              <w:left w:val="single" w:color="auto" w:sz="4" w:space="0"/>
              <w:bottom w:val="single" w:color="auto" w:sz="4" w:space="0"/>
              <w:right w:val="single" w:color="auto" w:sz="4" w:space="0"/>
            </w:tcBorders>
            <w:noWrap w:val="0"/>
            <w:vAlign w:val="center"/>
          </w:tcPr>
          <w:p w14:paraId="7D948E4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企业管理文件、自评材料、宣传片、活动证明、认证、证书、调查问卷原始记录等材料</w:t>
            </w:r>
          </w:p>
        </w:tc>
        <w:tc>
          <w:tcPr>
            <w:tcW w:w="919" w:type="dxa"/>
            <w:tcBorders>
              <w:top w:val="nil"/>
              <w:left w:val="single" w:color="auto" w:sz="4" w:space="0"/>
              <w:bottom w:val="single" w:color="auto" w:sz="4" w:space="0"/>
              <w:right w:val="single" w:color="auto" w:sz="4" w:space="0"/>
            </w:tcBorders>
            <w:noWrap w:val="0"/>
            <w:vAlign w:val="center"/>
          </w:tcPr>
          <w:p w14:paraId="2A7D55D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提升性</w:t>
            </w:r>
          </w:p>
        </w:tc>
        <w:tc>
          <w:tcPr>
            <w:tcW w:w="709" w:type="dxa"/>
            <w:tcBorders>
              <w:top w:val="nil"/>
              <w:left w:val="single" w:color="auto" w:sz="4" w:space="0"/>
              <w:bottom w:val="single" w:color="auto" w:sz="4" w:space="0"/>
              <w:right w:val="single" w:color="auto" w:sz="4" w:space="0"/>
            </w:tcBorders>
            <w:noWrap w:val="0"/>
            <w:vAlign w:val="center"/>
          </w:tcPr>
          <w:p w14:paraId="656DEF98">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single" w:color="auto" w:sz="4" w:space="0"/>
              <w:bottom w:val="single" w:color="auto" w:sz="4" w:space="0"/>
              <w:right w:val="single" w:color="auto" w:sz="4" w:space="0"/>
            </w:tcBorders>
            <w:noWrap w:val="0"/>
            <w:vAlign w:val="center"/>
          </w:tcPr>
          <w:p w14:paraId="22466730">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6792EFA5">
        <w:tblPrEx>
          <w:tblCellMar>
            <w:top w:w="0" w:type="dxa"/>
            <w:left w:w="108" w:type="dxa"/>
            <w:bottom w:w="0" w:type="dxa"/>
            <w:right w:w="108" w:type="dxa"/>
          </w:tblCellMar>
        </w:tblPrEx>
        <w:trPr>
          <w:trHeight w:val="2032"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5A77EFDF">
            <w:pPr>
              <w:adjustRightInd w:val="0"/>
              <w:snapToGrid w:val="0"/>
              <w:spacing w:line="240" w:lineRule="atLeast"/>
              <w:jc w:val="center"/>
              <w:rPr>
                <w:rFonts w:hint="eastAsia" w:ascii="宋体" w:hAnsi="宋体" w:eastAsia="等线" w:cs="宋体"/>
                <w:color w:val="000000"/>
                <w:kern w:val="0"/>
                <w:sz w:val="22"/>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49A6559E">
            <w:pPr>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0691A33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48企业诚信</w:t>
            </w:r>
          </w:p>
        </w:tc>
        <w:tc>
          <w:tcPr>
            <w:tcW w:w="975" w:type="dxa"/>
            <w:tcBorders>
              <w:top w:val="nil"/>
              <w:left w:val="nil"/>
              <w:bottom w:val="single" w:color="auto" w:sz="4" w:space="0"/>
              <w:right w:val="single" w:color="auto" w:sz="4" w:space="0"/>
            </w:tcBorders>
            <w:noWrap w:val="0"/>
            <w:vAlign w:val="center"/>
          </w:tcPr>
          <w:p w14:paraId="28A3DAD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6068A19B">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依法纳税，按要求提交储量年报、储量表及矿产资源统计基础表，按规定缴存矿业权出让收益。符合要求得2分，不符合得0分。</w:t>
            </w:r>
          </w:p>
        </w:tc>
        <w:tc>
          <w:tcPr>
            <w:tcW w:w="913" w:type="dxa"/>
            <w:tcBorders>
              <w:top w:val="nil"/>
              <w:left w:val="nil"/>
              <w:bottom w:val="single" w:color="auto" w:sz="4" w:space="0"/>
              <w:right w:val="single" w:color="auto" w:sz="4" w:space="0"/>
            </w:tcBorders>
            <w:noWrap w:val="0"/>
            <w:vAlign w:val="center"/>
          </w:tcPr>
          <w:p w14:paraId="1042A91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w:t>
            </w:r>
          </w:p>
        </w:tc>
        <w:tc>
          <w:tcPr>
            <w:tcW w:w="2307" w:type="dxa"/>
            <w:tcBorders>
              <w:top w:val="nil"/>
              <w:left w:val="nil"/>
              <w:bottom w:val="single" w:color="auto" w:sz="4" w:space="0"/>
              <w:right w:val="single" w:color="auto" w:sz="4" w:space="0"/>
            </w:tcBorders>
            <w:noWrap w:val="0"/>
            <w:vAlign w:val="center"/>
          </w:tcPr>
          <w:p w14:paraId="624A938E">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税务及相关部门证明</w:t>
            </w:r>
          </w:p>
        </w:tc>
        <w:tc>
          <w:tcPr>
            <w:tcW w:w="919" w:type="dxa"/>
            <w:tcBorders>
              <w:top w:val="nil"/>
              <w:left w:val="nil"/>
              <w:bottom w:val="single" w:color="auto" w:sz="4" w:space="0"/>
              <w:right w:val="single" w:color="auto" w:sz="4" w:space="0"/>
            </w:tcBorders>
            <w:noWrap w:val="0"/>
            <w:vAlign w:val="center"/>
          </w:tcPr>
          <w:p w14:paraId="48429D1D">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4DE2B5B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4042153F">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r w14:paraId="49BFB8CF">
        <w:tblPrEx>
          <w:tblCellMar>
            <w:top w:w="0" w:type="dxa"/>
            <w:left w:w="108" w:type="dxa"/>
            <w:bottom w:w="0" w:type="dxa"/>
            <w:right w:w="108" w:type="dxa"/>
          </w:tblCellMar>
        </w:tblPrEx>
        <w:trPr>
          <w:trHeight w:val="2951" w:hRule="atLeast"/>
          <w:jc w:val="center"/>
        </w:trPr>
        <w:tc>
          <w:tcPr>
            <w:tcW w:w="1188" w:type="dxa"/>
            <w:vMerge w:val="continue"/>
            <w:tcBorders>
              <w:top w:val="single" w:color="auto" w:sz="4" w:space="0"/>
              <w:left w:val="single" w:color="auto" w:sz="4" w:space="0"/>
              <w:bottom w:val="single" w:color="auto" w:sz="4" w:space="0"/>
              <w:right w:val="single" w:color="auto" w:sz="4" w:space="0"/>
            </w:tcBorders>
            <w:noWrap w:val="0"/>
            <w:vAlign w:val="center"/>
          </w:tcPr>
          <w:p w14:paraId="73E34296">
            <w:pPr>
              <w:widowControl/>
              <w:adjustRightInd w:val="0"/>
              <w:snapToGrid w:val="0"/>
              <w:spacing w:line="240" w:lineRule="atLeast"/>
              <w:jc w:val="center"/>
              <w:rPr>
                <w:rFonts w:hint="eastAsia" w:ascii="宋体" w:hAnsi="宋体" w:eastAsia="等线" w:cs="宋体"/>
                <w:color w:val="000000"/>
                <w:kern w:val="0"/>
                <w:sz w:val="22"/>
              </w:rPr>
            </w:pPr>
          </w:p>
        </w:tc>
        <w:tc>
          <w:tcPr>
            <w:tcW w:w="1185" w:type="dxa"/>
            <w:vMerge w:val="continue"/>
            <w:tcBorders>
              <w:top w:val="single" w:color="auto" w:sz="4" w:space="0"/>
              <w:left w:val="nil"/>
              <w:bottom w:val="single" w:color="auto" w:sz="4" w:space="0"/>
              <w:right w:val="single" w:color="auto" w:sz="4" w:space="0"/>
            </w:tcBorders>
            <w:noWrap w:val="0"/>
            <w:vAlign w:val="center"/>
          </w:tcPr>
          <w:p w14:paraId="171D9C43">
            <w:pPr>
              <w:widowControl/>
              <w:adjustRightInd w:val="0"/>
              <w:snapToGrid w:val="0"/>
              <w:spacing w:line="240" w:lineRule="atLeast"/>
              <w:jc w:val="center"/>
              <w:rPr>
                <w:rFonts w:hint="eastAsia" w:ascii="宋体" w:hAnsi="宋体" w:cs="宋体"/>
                <w:color w:val="000000"/>
                <w:kern w:val="0"/>
                <w:szCs w:val="21"/>
              </w:rPr>
            </w:pPr>
          </w:p>
        </w:tc>
        <w:tc>
          <w:tcPr>
            <w:tcW w:w="1245" w:type="dxa"/>
            <w:tcBorders>
              <w:top w:val="nil"/>
              <w:left w:val="nil"/>
              <w:bottom w:val="single" w:color="auto" w:sz="4" w:space="0"/>
              <w:right w:val="single" w:color="auto" w:sz="4" w:space="0"/>
            </w:tcBorders>
            <w:noWrap w:val="0"/>
            <w:vAlign w:val="center"/>
          </w:tcPr>
          <w:p w14:paraId="018FFF2A">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49矿地和谐</w:t>
            </w:r>
          </w:p>
        </w:tc>
        <w:tc>
          <w:tcPr>
            <w:tcW w:w="975" w:type="dxa"/>
            <w:tcBorders>
              <w:top w:val="nil"/>
              <w:left w:val="nil"/>
              <w:bottom w:val="single" w:color="auto" w:sz="4" w:space="0"/>
              <w:right w:val="single" w:color="auto" w:sz="4" w:space="0"/>
            </w:tcBorders>
            <w:noWrap w:val="0"/>
            <w:vAlign w:val="center"/>
          </w:tcPr>
          <w:p w14:paraId="05263D6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2</w:t>
            </w:r>
          </w:p>
        </w:tc>
        <w:tc>
          <w:tcPr>
            <w:tcW w:w="4745" w:type="dxa"/>
            <w:tcBorders>
              <w:top w:val="nil"/>
              <w:left w:val="nil"/>
              <w:bottom w:val="single" w:color="auto" w:sz="4" w:space="0"/>
              <w:right w:val="single" w:color="auto" w:sz="4" w:space="0"/>
            </w:tcBorders>
            <w:noWrap w:val="0"/>
            <w:vAlign w:val="center"/>
          </w:tcPr>
          <w:p w14:paraId="04A8246F">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建立职业健康管理制度。建立良好矿地关系，制定和公开申诉回应制度，具有联系机构与人员，及时妥善处理与受采矿活动影响的社区等利益相关者间的纠纷矛盾，维护当地生产、生活相关生态环境。在劳务用工、基础设施、公益募捐、教育医疗支持等一个及以上方面开展帮扶，助力乡村振兴。符合要求得2分，不符合得0分。</w:t>
            </w:r>
          </w:p>
        </w:tc>
        <w:tc>
          <w:tcPr>
            <w:tcW w:w="913" w:type="dxa"/>
            <w:tcBorders>
              <w:top w:val="nil"/>
              <w:left w:val="nil"/>
              <w:bottom w:val="single" w:color="auto" w:sz="4" w:space="0"/>
              <w:right w:val="single" w:color="auto" w:sz="4" w:space="0"/>
            </w:tcBorders>
            <w:noWrap w:val="0"/>
            <w:vAlign w:val="center"/>
          </w:tcPr>
          <w:p w14:paraId="07878529">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查资料、调查走访</w:t>
            </w:r>
          </w:p>
        </w:tc>
        <w:tc>
          <w:tcPr>
            <w:tcW w:w="2307" w:type="dxa"/>
            <w:tcBorders>
              <w:top w:val="nil"/>
              <w:left w:val="nil"/>
              <w:bottom w:val="single" w:color="auto" w:sz="4" w:space="0"/>
              <w:right w:val="single" w:color="auto" w:sz="4" w:space="0"/>
            </w:tcBorders>
            <w:noWrap w:val="0"/>
            <w:vAlign w:val="center"/>
          </w:tcPr>
          <w:p w14:paraId="3B10D1FB">
            <w:pPr>
              <w:widowControl/>
              <w:adjustRightInd w:val="0"/>
              <w:snapToGrid w:val="0"/>
              <w:spacing w:line="240" w:lineRule="atLeast"/>
              <w:jc w:val="both"/>
              <w:rPr>
                <w:rFonts w:hint="eastAsia" w:ascii="宋体" w:hAnsi="宋体" w:cs="宋体"/>
                <w:color w:val="000000"/>
                <w:kern w:val="0"/>
                <w:szCs w:val="21"/>
              </w:rPr>
            </w:pPr>
            <w:r>
              <w:rPr>
                <w:rFonts w:hint="eastAsia" w:ascii="宋体" w:hAnsi="宋体" w:cs="宋体"/>
                <w:color w:val="000000"/>
                <w:kern w:val="0"/>
                <w:szCs w:val="21"/>
              </w:rPr>
              <w:t>相关文件、票据等证明材料</w:t>
            </w:r>
          </w:p>
        </w:tc>
        <w:tc>
          <w:tcPr>
            <w:tcW w:w="919" w:type="dxa"/>
            <w:tcBorders>
              <w:top w:val="nil"/>
              <w:left w:val="nil"/>
              <w:bottom w:val="single" w:color="auto" w:sz="4" w:space="0"/>
              <w:right w:val="single" w:color="auto" w:sz="4" w:space="0"/>
            </w:tcBorders>
            <w:noWrap w:val="0"/>
            <w:vAlign w:val="center"/>
          </w:tcPr>
          <w:p w14:paraId="516C3424">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约束性</w:t>
            </w:r>
          </w:p>
        </w:tc>
        <w:tc>
          <w:tcPr>
            <w:tcW w:w="709" w:type="dxa"/>
            <w:tcBorders>
              <w:top w:val="nil"/>
              <w:left w:val="nil"/>
              <w:bottom w:val="single" w:color="auto" w:sz="4" w:space="0"/>
              <w:right w:val="single" w:color="auto" w:sz="4" w:space="0"/>
            </w:tcBorders>
            <w:noWrap w:val="0"/>
            <w:vAlign w:val="center"/>
          </w:tcPr>
          <w:p w14:paraId="64531353">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738" w:type="dxa"/>
            <w:tcBorders>
              <w:top w:val="nil"/>
              <w:left w:val="nil"/>
              <w:bottom w:val="single" w:color="auto" w:sz="4" w:space="0"/>
              <w:right w:val="single" w:color="auto" w:sz="4" w:space="0"/>
            </w:tcBorders>
            <w:noWrap w:val="0"/>
            <w:vAlign w:val="center"/>
          </w:tcPr>
          <w:p w14:paraId="69E637D2">
            <w:pPr>
              <w:widowControl/>
              <w:adjustRightInd w:val="0"/>
              <w:snapToGrid w:val="0"/>
              <w:spacing w:line="240" w:lineRule="atLeast"/>
              <w:jc w:val="center"/>
              <w:rPr>
                <w:rFonts w:hint="eastAsia" w:ascii="宋体" w:hAnsi="宋体" w:cs="宋体"/>
                <w:color w:val="000000"/>
                <w:kern w:val="0"/>
                <w:szCs w:val="21"/>
              </w:rPr>
            </w:pPr>
            <w:r>
              <w:rPr>
                <w:rFonts w:hint="eastAsia" w:ascii="宋体" w:hAnsi="宋体" w:cs="宋体"/>
                <w:color w:val="000000"/>
                <w:kern w:val="0"/>
                <w:szCs w:val="21"/>
              </w:rPr>
              <w:t>　</w:t>
            </w:r>
          </w:p>
        </w:tc>
      </w:tr>
    </w:tbl>
    <w:p w14:paraId="7CA7F2CF">
      <w:pPr>
        <w:pStyle w:val="2"/>
        <w:keepNext w:val="0"/>
        <w:keepLines w:val="0"/>
        <w:pageBreakBefore w:val="0"/>
        <w:widowControl w:val="0"/>
        <w:kinsoku/>
        <w:wordWrap/>
        <w:overflowPunct/>
        <w:topLinePunct w:val="0"/>
        <w:autoSpaceDE/>
        <w:autoSpaceDN/>
        <w:bidi w:val="0"/>
        <w:adjustRightInd/>
        <w:snapToGrid/>
        <w:spacing w:after="0" w:line="40" w:lineRule="exact"/>
        <w:ind w:left="0" w:leftChars="0" w:firstLine="0" w:firstLineChars="0"/>
        <w:textAlignment w:val="auto"/>
        <w:rPr>
          <w:rFonts w:hint="eastAsia" w:ascii="宋体" w:hAnsi="宋体"/>
          <w:lang w:val="en-US" w:eastAsia="zh-CN"/>
        </w:rPr>
      </w:pPr>
      <w:r>
        <w:rPr>
          <w:rFonts w:hint="eastAsia" w:ascii="宋体" w:hAnsi="宋体"/>
          <w:lang w:val="en-US" w:eastAsia="zh-CN"/>
        </w:rPr>
        <w:br w:type="page"/>
      </w:r>
      <w:bookmarkStart w:id="1" w:name="_GoBack"/>
      <w:bookmarkEnd w:id="1"/>
    </w:p>
    <w:tbl>
      <w:tblPr>
        <w:tblStyle w:val="6"/>
        <w:tblW w:w="14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79"/>
        <w:gridCol w:w="5819"/>
        <w:gridCol w:w="992"/>
        <w:gridCol w:w="2268"/>
        <w:gridCol w:w="1790"/>
      </w:tblGrid>
      <w:tr w14:paraId="0D49A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3879" w:type="dxa"/>
            <w:vMerge w:val="restart"/>
            <w:noWrap w:val="0"/>
            <w:tcMar>
              <w:top w:w="12" w:type="dxa"/>
              <w:left w:w="12" w:type="dxa"/>
              <w:right w:w="12" w:type="dxa"/>
            </w:tcMar>
            <w:vAlign w:val="center"/>
          </w:tcPr>
          <w:p w14:paraId="744F81B1">
            <w:pPr>
              <w:widowControl/>
              <w:spacing w:line="240" w:lineRule="atLeast"/>
              <w:jc w:val="center"/>
              <w:textAlignment w:val="center"/>
              <w:rPr>
                <w:rFonts w:hint="eastAsia" w:ascii="宋体" w:hAnsi="宋体"/>
                <w:kern w:val="0"/>
                <w:szCs w:val="21"/>
                <w:lang w:bidi="ar"/>
              </w:rPr>
            </w:pPr>
            <w:bookmarkStart w:id="0" w:name="OLE_LINK10"/>
            <w:r>
              <w:rPr>
                <w:rFonts w:ascii="宋体" w:hAnsi="宋体"/>
                <w:b/>
                <w:bCs/>
              </w:rPr>
              <w:t>附加得分项</w:t>
            </w:r>
            <w:bookmarkEnd w:id="0"/>
          </w:p>
        </w:tc>
        <w:tc>
          <w:tcPr>
            <w:tcW w:w="5819" w:type="dxa"/>
            <w:noWrap w:val="0"/>
            <w:tcMar>
              <w:top w:w="12" w:type="dxa"/>
              <w:left w:w="12" w:type="dxa"/>
              <w:right w:w="12" w:type="dxa"/>
            </w:tcMar>
            <w:vAlign w:val="center"/>
          </w:tcPr>
          <w:p w14:paraId="5960A669">
            <w:pPr>
              <w:widowControl/>
              <w:adjustRightInd w:val="0"/>
              <w:snapToGrid w:val="0"/>
              <w:spacing w:line="240" w:lineRule="atLeast"/>
              <w:textAlignment w:val="center"/>
              <w:rPr>
                <w:rFonts w:hint="eastAsia" w:ascii="宋体" w:hAnsi="宋体"/>
                <w:kern w:val="0"/>
                <w:sz w:val="18"/>
                <w:szCs w:val="18"/>
                <w:lang w:bidi="ar"/>
              </w:rPr>
            </w:pPr>
            <w:r>
              <w:rPr>
                <w:rFonts w:ascii="宋体" w:hAnsi="宋体"/>
                <w:kern w:val="0"/>
                <w:sz w:val="18"/>
                <w:szCs w:val="18"/>
                <w:lang w:bidi="ar"/>
              </w:rPr>
              <w:t>1.采用充填法、保水开采等技术进行采矿的，得1分。</w:t>
            </w:r>
          </w:p>
        </w:tc>
        <w:tc>
          <w:tcPr>
            <w:tcW w:w="992" w:type="dxa"/>
            <w:noWrap w:val="0"/>
            <w:tcMar>
              <w:top w:w="12" w:type="dxa"/>
              <w:left w:w="12" w:type="dxa"/>
              <w:right w:w="12" w:type="dxa"/>
            </w:tcMar>
            <w:vAlign w:val="center"/>
          </w:tcPr>
          <w:p w14:paraId="52888F5C">
            <w:pPr>
              <w:widowControl/>
              <w:adjustRightInd w:val="0"/>
              <w:snapToGrid w:val="0"/>
              <w:spacing w:line="240" w:lineRule="atLeast"/>
              <w:jc w:val="left"/>
              <w:textAlignment w:val="center"/>
              <w:rPr>
                <w:rFonts w:hint="eastAsia" w:ascii="宋体" w:hAnsi="宋体"/>
                <w:kern w:val="0"/>
                <w:sz w:val="18"/>
                <w:szCs w:val="18"/>
                <w:lang w:bidi="ar"/>
              </w:rPr>
            </w:pPr>
            <w:r>
              <w:rPr>
                <w:rFonts w:ascii="宋体" w:hAnsi="宋体"/>
                <w:color w:val="000000"/>
                <w:kern w:val="0"/>
                <w:sz w:val="18"/>
                <w:szCs w:val="18"/>
                <w:lang w:bidi="ar"/>
              </w:rPr>
              <w:t>查资料、查现场</w:t>
            </w:r>
          </w:p>
        </w:tc>
        <w:tc>
          <w:tcPr>
            <w:tcW w:w="2268" w:type="dxa"/>
            <w:noWrap w:val="0"/>
            <w:tcMar>
              <w:top w:w="12" w:type="dxa"/>
              <w:left w:w="12" w:type="dxa"/>
              <w:right w:w="12" w:type="dxa"/>
            </w:tcMar>
            <w:vAlign w:val="center"/>
          </w:tcPr>
          <w:p w14:paraId="14D10A14">
            <w:pPr>
              <w:adjustRightInd w:val="0"/>
              <w:snapToGrid w:val="0"/>
              <w:spacing w:line="240" w:lineRule="atLeast"/>
              <w:jc w:val="left"/>
              <w:rPr>
                <w:rFonts w:hint="eastAsia" w:ascii="宋体" w:hAnsi="宋体"/>
                <w:kern w:val="0"/>
                <w:sz w:val="18"/>
                <w:szCs w:val="18"/>
              </w:rPr>
            </w:pPr>
            <w:r>
              <w:rPr>
                <w:rFonts w:ascii="宋体" w:hAnsi="宋体"/>
                <w:kern w:val="0"/>
                <w:sz w:val="18"/>
                <w:szCs w:val="18"/>
              </w:rPr>
              <w:t>工艺技术装备资料</w:t>
            </w:r>
          </w:p>
        </w:tc>
        <w:tc>
          <w:tcPr>
            <w:tcW w:w="1790" w:type="dxa"/>
            <w:vMerge w:val="restart"/>
            <w:noWrap w:val="0"/>
            <w:tcMar>
              <w:top w:w="12" w:type="dxa"/>
              <w:left w:w="12" w:type="dxa"/>
              <w:right w:w="12" w:type="dxa"/>
            </w:tcMar>
            <w:vAlign w:val="center"/>
          </w:tcPr>
          <w:p w14:paraId="20AC51FC">
            <w:pPr>
              <w:spacing w:line="240" w:lineRule="atLeast"/>
              <w:jc w:val="center"/>
              <w:rPr>
                <w:rFonts w:hint="eastAsia" w:ascii="宋体" w:hAnsi="宋体"/>
                <w:kern w:val="0"/>
                <w:sz w:val="18"/>
                <w:szCs w:val="18"/>
              </w:rPr>
            </w:pPr>
            <w:r>
              <w:rPr>
                <w:rFonts w:ascii="宋体" w:hAnsi="宋体"/>
                <w:kern w:val="0"/>
                <w:sz w:val="18"/>
                <w:szCs w:val="18"/>
              </w:rPr>
              <w:t>奖励性</w:t>
            </w:r>
          </w:p>
          <w:p w14:paraId="474274F3">
            <w:pPr>
              <w:adjustRightInd w:val="0"/>
              <w:snapToGrid w:val="0"/>
              <w:spacing w:line="240" w:lineRule="atLeast"/>
              <w:jc w:val="center"/>
              <w:rPr>
                <w:rFonts w:hint="eastAsia" w:ascii="宋体" w:hAnsi="宋体"/>
                <w:kern w:val="0"/>
                <w:sz w:val="18"/>
                <w:szCs w:val="18"/>
              </w:rPr>
            </w:pPr>
            <w:r>
              <w:rPr>
                <w:rFonts w:ascii="宋体" w:hAnsi="宋体"/>
                <w:kern w:val="0"/>
                <w:sz w:val="18"/>
                <w:szCs w:val="18"/>
              </w:rPr>
              <w:t>（总分不超过10分）</w:t>
            </w:r>
          </w:p>
        </w:tc>
      </w:tr>
      <w:tr w14:paraId="516DB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3879" w:type="dxa"/>
            <w:vMerge w:val="continue"/>
            <w:noWrap w:val="0"/>
            <w:tcMar>
              <w:top w:w="12" w:type="dxa"/>
              <w:left w:w="12" w:type="dxa"/>
              <w:right w:w="12" w:type="dxa"/>
            </w:tcMar>
            <w:vAlign w:val="center"/>
          </w:tcPr>
          <w:p w14:paraId="792813CF">
            <w:pPr>
              <w:spacing w:line="240" w:lineRule="atLeast"/>
              <w:ind w:firstLine="643"/>
              <w:jc w:val="center"/>
              <w:textAlignment w:val="center"/>
              <w:rPr>
                <w:rFonts w:hint="eastAsia" w:ascii="宋体" w:hAnsi="宋体"/>
                <w:b/>
                <w:bCs/>
              </w:rPr>
            </w:pPr>
          </w:p>
        </w:tc>
        <w:tc>
          <w:tcPr>
            <w:tcW w:w="5819" w:type="dxa"/>
            <w:noWrap w:val="0"/>
            <w:tcMar>
              <w:top w:w="12" w:type="dxa"/>
              <w:left w:w="12" w:type="dxa"/>
              <w:right w:w="12" w:type="dxa"/>
            </w:tcMar>
            <w:vAlign w:val="center"/>
          </w:tcPr>
          <w:p w14:paraId="4D4DF623">
            <w:pPr>
              <w:widowControl/>
              <w:adjustRightInd w:val="0"/>
              <w:snapToGrid w:val="0"/>
              <w:spacing w:line="240" w:lineRule="atLeast"/>
              <w:textAlignment w:val="center"/>
              <w:rPr>
                <w:rFonts w:hint="eastAsia" w:ascii="宋体" w:hAnsi="宋体"/>
                <w:kern w:val="0"/>
                <w:sz w:val="18"/>
                <w:szCs w:val="18"/>
                <w:lang w:bidi="ar"/>
              </w:rPr>
            </w:pPr>
            <w:r>
              <w:rPr>
                <w:rFonts w:ascii="宋体" w:hAnsi="宋体"/>
                <w:kern w:val="0"/>
                <w:sz w:val="18"/>
                <w:szCs w:val="18"/>
                <w:lang w:bidi="ar"/>
              </w:rPr>
              <w:t>2.“三率”指标一项达到矿产资源合理开发利用“三率”指标一般指标值得</w:t>
            </w:r>
            <w:r>
              <w:rPr>
                <w:rFonts w:hint="eastAsia" w:ascii="宋体" w:hAnsi="宋体"/>
                <w:kern w:val="0"/>
                <w:sz w:val="18"/>
                <w:szCs w:val="18"/>
                <w:lang w:bidi="ar"/>
              </w:rPr>
              <w:t>2</w:t>
            </w:r>
            <w:r>
              <w:rPr>
                <w:rFonts w:ascii="宋体" w:hAnsi="宋体"/>
                <w:kern w:val="0"/>
                <w:sz w:val="18"/>
                <w:szCs w:val="18"/>
                <w:lang w:bidi="ar"/>
              </w:rPr>
              <w:t>分；达到领跑者指标值及以上得</w:t>
            </w:r>
            <w:r>
              <w:rPr>
                <w:rFonts w:hint="eastAsia" w:ascii="宋体" w:hAnsi="宋体"/>
                <w:kern w:val="0"/>
                <w:sz w:val="18"/>
                <w:szCs w:val="18"/>
                <w:lang w:bidi="ar"/>
              </w:rPr>
              <w:t>3</w:t>
            </w:r>
            <w:r>
              <w:rPr>
                <w:rFonts w:ascii="宋体" w:hAnsi="宋体"/>
                <w:kern w:val="0"/>
                <w:sz w:val="18"/>
                <w:szCs w:val="18"/>
                <w:lang w:bidi="ar"/>
              </w:rPr>
              <w:t>分。</w:t>
            </w:r>
          </w:p>
        </w:tc>
        <w:tc>
          <w:tcPr>
            <w:tcW w:w="992" w:type="dxa"/>
            <w:noWrap w:val="0"/>
            <w:tcMar>
              <w:top w:w="12" w:type="dxa"/>
              <w:left w:w="12" w:type="dxa"/>
              <w:right w:w="12" w:type="dxa"/>
            </w:tcMar>
            <w:vAlign w:val="center"/>
          </w:tcPr>
          <w:p w14:paraId="5C2077E1">
            <w:pPr>
              <w:widowControl/>
              <w:adjustRightInd w:val="0"/>
              <w:snapToGrid w:val="0"/>
              <w:spacing w:line="240" w:lineRule="atLeast"/>
              <w:jc w:val="left"/>
              <w:textAlignment w:val="center"/>
              <w:rPr>
                <w:rFonts w:hint="eastAsia" w:ascii="宋体" w:hAnsi="宋体"/>
                <w:kern w:val="0"/>
                <w:sz w:val="18"/>
                <w:szCs w:val="18"/>
                <w:lang w:bidi="ar"/>
              </w:rPr>
            </w:pPr>
            <w:r>
              <w:rPr>
                <w:rFonts w:ascii="宋体" w:hAnsi="宋体"/>
                <w:color w:val="000000"/>
                <w:kern w:val="0"/>
                <w:sz w:val="18"/>
                <w:szCs w:val="18"/>
                <w:lang w:bidi="ar"/>
              </w:rPr>
              <w:t>查资料、查现场</w:t>
            </w:r>
          </w:p>
        </w:tc>
        <w:tc>
          <w:tcPr>
            <w:tcW w:w="2268" w:type="dxa"/>
            <w:noWrap w:val="0"/>
            <w:tcMar>
              <w:top w:w="12" w:type="dxa"/>
              <w:left w:w="12" w:type="dxa"/>
              <w:right w:w="12" w:type="dxa"/>
            </w:tcMar>
            <w:vAlign w:val="center"/>
          </w:tcPr>
          <w:p w14:paraId="4FAF7600">
            <w:pPr>
              <w:adjustRightInd w:val="0"/>
              <w:snapToGrid w:val="0"/>
              <w:spacing w:line="240" w:lineRule="atLeast"/>
              <w:jc w:val="left"/>
              <w:rPr>
                <w:rFonts w:hint="eastAsia" w:ascii="宋体" w:hAnsi="宋体"/>
                <w:kern w:val="0"/>
                <w:sz w:val="18"/>
                <w:szCs w:val="18"/>
              </w:rPr>
            </w:pPr>
            <w:r>
              <w:rPr>
                <w:rFonts w:ascii="宋体" w:hAnsi="宋体"/>
                <w:kern w:val="0"/>
                <w:sz w:val="18"/>
                <w:szCs w:val="18"/>
              </w:rPr>
              <w:t>自然资源部发布的“三率”指标要求（矿产资源“三率”指标要求 DZ/T 0462）</w:t>
            </w:r>
          </w:p>
        </w:tc>
        <w:tc>
          <w:tcPr>
            <w:tcW w:w="1790" w:type="dxa"/>
            <w:vMerge w:val="continue"/>
            <w:noWrap w:val="0"/>
            <w:tcMar>
              <w:top w:w="12" w:type="dxa"/>
              <w:left w:w="12" w:type="dxa"/>
              <w:right w:w="12" w:type="dxa"/>
            </w:tcMar>
            <w:vAlign w:val="center"/>
          </w:tcPr>
          <w:p w14:paraId="48DE8774">
            <w:pPr>
              <w:adjustRightInd w:val="0"/>
              <w:snapToGrid w:val="0"/>
              <w:spacing w:line="240" w:lineRule="atLeast"/>
              <w:jc w:val="center"/>
              <w:rPr>
                <w:rFonts w:hint="eastAsia" w:ascii="宋体" w:hAnsi="宋体"/>
                <w:kern w:val="0"/>
                <w:sz w:val="18"/>
                <w:szCs w:val="18"/>
              </w:rPr>
            </w:pPr>
          </w:p>
        </w:tc>
      </w:tr>
      <w:tr w14:paraId="4DFB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9" w:hRule="atLeast"/>
          <w:jc w:val="center"/>
        </w:trPr>
        <w:tc>
          <w:tcPr>
            <w:tcW w:w="3879" w:type="dxa"/>
            <w:vMerge w:val="continue"/>
            <w:noWrap w:val="0"/>
            <w:tcMar>
              <w:top w:w="12" w:type="dxa"/>
              <w:left w:w="12" w:type="dxa"/>
              <w:right w:w="12" w:type="dxa"/>
            </w:tcMar>
            <w:vAlign w:val="center"/>
          </w:tcPr>
          <w:p w14:paraId="7372A5D0">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6EB8EC93">
            <w:pPr>
              <w:widowControl/>
              <w:adjustRightInd w:val="0"/>
              <w:snapToGrid w:val="0"/>
              <w:spacing w:line="240" w:lineRule="atLeast"/>
              <w:textAlignment w:val="center"/>
              <w:rPr>
                <w:rFonts w:hint="eastAsia" w:ascii="宋体" w:hAnsi="宋体"/>
                <w:color w:val="FF0000"/>
                <w:kern w:val="0"/>
                <w:sz w:val="18"/>
                <w:szCs w:val="18"/>
                <w:lang w:bidi="ar"/>
              </w:rPr>
            </w:pPr>
            <w:r>
              <w:rPr>
                <w:rFonts w:ascii="宋体" w:hAnsi="宋体"/>
                <w:kern w:val="0"/>
                <w:sz w:val="18"/>
                <w:szCs w:val="18"/>
                <w:lang w:bidi="ar"/>
              </w:rPr>
              <w:t>3. 矿山企业研究项目或成果获得国家级奖励</w:t>
            </w:r>
            <w:r>
              <w:rPr>
                <w:rFonts w:hint="eastAsia" w:ascii="宋体" w:hAnsi="宋体"/>
                <w:kern w:val="0"/>
                <w:sz w:val="18"/>
                <w:szCs w:val="18"/>
                <w:lang w:bidi="ar"/>
              </w:rPr>
              <w:t>的1项</w:t>
            </w:r>
            <w:r>
              <w:rPr>
                <w:rFonts w:ascii="宋体" w:hAnsi="宋体"/>
                <w:kern w:val="0"/>
                <w:sz w:val="18"/>
                <w:szCs w:val="18"/>
                <w:lang w:bidi="ar"/>
              </w:rPr>
              <w:t>得3分，省部级奖励</w:t>
            </w:r>
            <w:r>
              <w:rPr>
                <w:rFonts w:hint="eastAsia" w:ascii="宋体" w:hAnsi="宋体"/>
                <w:kern w:val="0"/>
                <w:sz w:val="18"/>
                <w:szCs w:val="18"/>
                <w:lang w:bidi="ar"/>
              </w:rPr>
              <w:t>的1项</w:t>
            </w:r>
            <w:r>
              <w:rPr>
                <w:rFonts w:ascii="宋体" w:hAnsi="宋体"/>
                <w:kern w:val="0"/>
                <w:sz w:val="18"/>
                <w:szCs w:val="18"/>
                <w:lang w:bidi="ar"/>
              </w:rPr>
              <w:t>得2分，国家奖励办《社会科技奖励目录》中促进绿色矿山建设的</w:t>
            </w:r>
            <w:r>
              <w:rPr>
                <w:rFonts w:hint="eastAsia" w:ascii="宋体" w:hAnsi="宋体"/>
                <w:kern w:val="0"/>
                <w:sz w:val="18"/>
                <w:szCs w:val="18"/>
                <w:lang w:bidi="ar"/>
              </w:rPr>
              <w:t>的1项</w:t>
            </w:r>
            <w:r>
              <w:rPr>
                <w:rFonts w:ascii="宋体" w:hAnsi="宋体"/>
                <w:kern w:val="0"/>
                <w:sz w:val="18"/>
                <w:szCs w:val="18"/>
                <w:lang w:bidi="ar"/>
              </w:rPr>
              <w:t>得1分</w:t>
            </w:r>
            <w:r>
              <w:rPr>
                <w:rFonts w:hint="eastAsia" w:ascii="宋体" w:hAnsi="宋体"/>
                <w:kern w:val="0"/>
                <w:sz w:val="18"/>
                <w:szCs w:val="18"/>
                <w:lang w:bidi="ar"/>
              </w:rPr>
              <w:t>。</w:t>
            </w:r>
          </w:p>
        </w:tc>
        <w:tc>
          <w:tcPr>
            <w:tcW w:w="992" w:type="dxa"/>
            <w:noWrap w:val="0"/>
            <w:tcMar>
              <w:top w:w="12" w:type="dxa"/>
              <w:left w:w="12" w:type="dxa"/>
              <w:right w:w="12" w:type="dxa"/>
            </w:tcMar>
            <w:vAlign w:val="center"/>
          </w:tcPr>
          <w:p w14:paraId="5317CA7C">
            <w:pPr>
              <w:widowControl/>
              <w:adjustRightInd w:val="0"/>
              <w:snapToGrid w:val="0"/>
              <w:spacing w:line="240" w:lineRule="atLeast"/>
              <w:jc w:val="left"/>
              <w:textAlignment w:val="center"/>
              <w:rPr>
                <w:rFonts w:hint="eastAsia" w:ascii="宋体" w:hAnsi="宋体"/>
                <w:kern w:val="0"/>
                <w:sz w:val="18"/>
                <w:szCs w:val="18"/>
                <w:lang w:bidi="ar"/>
              </w:rPr>
            </w:pPr>
            <w:r>
              <w:rPr>
                <w:rFonts w:ascii="宋体" w:hAnsi="宋体"/>
                <w:color w:val="000000"/>
                <w:kern w:val="0"/>
                <w:sz w:val="18"/>
                <w:szCs w:val="18"/>
                <w:lang w:bidi="ar"/>
              </w:rPr>
              <w:t>查资料、查现场</w:t>
            </w:r>
          </w:p>
        </w:tc>
        <w:tc>
          <w:tcPr>
            <w:tcW w:w="2268" w:type="dxa"/>
            <w:vMerge w:val="restart"/>
            <w:noWrap w:val="0"/>
            <w:tcMar>
              <w:top w:w="12" w:type="dxa"/>
              <w:left w:w="12" w:type="dxa"/>
              <w:right w:w="12" w:type="dxa"/>
            </w:tcMar>
            <w:vAlign w:val="center"/>
          </w:tcPr>
          <w:p w14:paraId="462811FD">
            <w:pPr>
              <w:adjustRightInd w:val="0"/>
              <w:snapToGrid w:val="0"/>
              <w:spacing w:line="240" w:lineRule="atLeast"/>
              <w:jc w:val="left"/>
              <w:rPr>
                <w:rFonts w:hint="eastAsia" w:ascii="宋体" w:hAnsi="宋体"/>
                <w:kern w:val="0"/>
                <w:sz w:val="18"/>
                <w:szCs w:val="18"/>
              </w:rPr>
            </w:pPr>
            <w:r>
              <w:rPr>
                <w:rFonts w:hint="eastAsia" w:ascii="宋体" w:hAnsi="宋体"/>
                <w:kern w:val="0"/>
                <w:sz w:val="18"/>
                <w:szCs w:val="18"/>
              </w:rPr>
              <w:t>主管部门公告文件，项目立项文件及项目台账</w:t>
            </w:r>
          </w:p>
        </w:tc>
        <w:tc>
          <w:tcPr>
            <w:tcW w:w="1790" w:type="dxa"/>
            <w:vMerge w:val="continue"/>
            <w:noWrap w:val="0"/>
            <w:tcMar>
              <w:top w:w="12" w:type="dxa"/>
              <w:left w:w="12" w:type="dxa"/>
              <w:right w:w="12" w:type="dxa"/>
            </w:tcMar>
            <w:vAlign w:val="center"/>
          </w:tcPr>
          <w:p w14:paraId="12668272">
            <w:pPr>
              <w:adjustRightInd w:val="0"/>
              <w:snapToGrid w:val="0"/>
              <w:spacing w:line="240" w:lineRule="atLeast"/>
              <w:jc w:val="center"/>
              <w:rPr>
                <w:rFonts w:hint="eastAsia" w:ascii="宋体" w:hAnsi="宋体"/>
                <w:kern w:val="0"/>
                <w:sz w:val="18"/>
                <w:szCs w:val="18"/>
              </w:rPr>
            </w:pPr>
          </w:p>
        </w:tc>
      </w:tr>
      <w:tr w14:paraId="72F5F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79" w:type="dxa"/>
            <w:vMerge w:val="continue"/>
            <w:noWrap w:val="0"/>
            <w:tcMar>
              <w:top w:w="12" w:type="dxa"/>
              <w:left w:w="12" w:type="dxa"/>
              <w:right w:w="12" w:type="dxa"/>
            </w:tcMar>
            <w:vAlign w:val="center"/>
          </w:tcPr>
          <w:p w14:paraId="18930C26">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28D37678">
            <w:pPr>
              <w:widowControl/>
              <w:adjustRightInd w:val="0"/>
              <w:snapToGrid w:val="0"/>
              <w:spacing w:line="240" w:lineRule="atLeast"/>
              <w:textAlignment w:val="center"/>
              <w:rPr>
                <w:rFonts w:hint="eastAsia" w:ascii="宋体" w:hAnsi="宋体"/>
                <w:color w:val="FF0000"/>
                <w:kern w:val="0"/>
                <w:sz w:val="18"/>
                <w:szCs w:val="18"/>
                <w:lang w:bidi="ar"/>
              </w:rPr>
            </w:pPr>
            <w:r>
              <w:rPr>
                <w:rFonts w:hint="eastAsia" w:ascii="宋体" w:hAnsi="宋体"/>
                <w:kern w:val="0"/>
                <w:sz w:val="18"/>
                <w:szCs w:val="18"/>
                <w:lang w:bidi="ar"/>
              </w:rPr>
              <w:t>4.</w:t>
            </w:r>
            <w:r>
              <w:rPr>
                <w:rFonts w:ascii="宋体" w:hAnsi="宋体"/>
                <w:kern w:val="0"/>
                <w:sz w:val="18"/>
                <w:szCs w:val="18"/>
                <w:lang w:bidi="ar"/>
              </w:rPr>
              <w:t>企业获得国家级绿色工厂得</w:t>
            </w:r>
            <w:r>
              <w:rPr>
                <w:rFonts w:hint="eastAsia" w:ascii="宋体" w:hAnsi="宋体"/>
                <w:kern w:val="0"/>
                <w:sz w:val="18"/>
                <w:szCs w:val="18"/>
                <w:lang w:bidi="ar"/>
              </w:rPr>
              <w:t>1</w:t>
            </w:r>
            <w:r>
              <w:rPr>
                <w:rFonts w:ascii="宋体" w:hAnsi="宋体"/>
                <w:kern w:val="0"/>
                <w:sz w:val="18"/>
                <w:szCs w:val="18"/>
                <w:lang w:bidi="ar"/>
              </w:rPr>
              <w:t>分，省级绿色工厂得</w:t>
            </w:r>
            <w:r>
              <w:rPr>
                <w:rFonts w:hint="eastAsia" w:ascii="宋体" w:hAnsi="宋体"/>
                <w:kern w:val="0"/>
                <w:sz w:val="18"/>
                <w:szCs w:val="18"/>
                <w:lang w:bidi="ar"/>
              </w:rPr>
              <w:t>0.5</w:t>
            </w:r>
            <w:r>
              <w:rPr>
                <w:rFonts w:ascii="宋体" w:hAnsi="宋体"/>
                <w:kern w:val="0"/>
                <w:sz w:val="18"/>
                <w:szCs w:val="18"/>
                <w:lang w:bidi="ar"/>
              </w:rPr>
              <w:t>分</w:t>
            </w:r>
            <w:r>
              <w:rPr>
                <w:rFonts w:hint="eastAsia" w:ascii="宋体" w:hAnsi="宋体"/>
                <w:kern w:val="0"/>
                <w:sz w:val="18"/>
                <w:szCs w:val="18"/>
                <w:lang w:bidi="ar"/>
              </w:rPr>
              <w:t xml:space="preserve">。 </w:t>
            </w:r>
            <w:r>
              <w:rPr>
                <w:rFonts w:hint="eastAsia" w:ascii="宋体" w:hAnsi="宋体"/>
                <w:color w:val="FF0000"/>
                <w:kern w:val="0"/>
                <w:sz w:val="18"/>
                <w:szCs w:val="18"/>
                <w:lang w:bidi="ar"/>
              </w:rPr>
              <w:t xml:space="preserve">   </w:t>
            </w:r>
          </w:p>
        </w:tc>
        <w:tc>
          <w:tcPr>
            <w:tcW w:w="992" w:type="dxa"/>
            <w:noWrap w:val="0"/>
            <w:tcMar>
              <w:top w:w="12" w:type="dxa"/>
              <w:left w:w="12" w:type="dxa"/>
              <w:right w:w="12" w:type="dxa"/>
            </w:tcMar>
            <w:vAlign w:val="center"/>
          </w:tcPr>
          <w:p w14:paraId="4BF87261">
            <w:pPr>
              <w:widowControl/>
              <w:adjustRightInd w:val="0"/>
              <w:snapToGrid w:val="0"/>
              <w:spacing w:line="240" w:lineRule="atLeast"/>
              <w:jc w:val="left"/>
              <w:textAlignment w:val="center"/>
              <w:rPr>
                <w:rFonts w:hint="eastAsia" w:ascii="宋体" w:hAnsi="宋体"/>
                <w:kern w:val="0"/>
                <w:sz w:val="18"/>
                <w:szCs w:val="18"/>
                <w:lang w:bidi="ar"/>
              </w:rPr>
            </w:pPr>
            <w:r>
              <w:rPr>
                <w:rFonts w:ascii="宋体" w:hAnsi="宋体"/>
                <w:color w:val="000000"/>
                <w:kern w:val="0"/>
                <w:sz w:val="18"/>
                <w:szCs w:val="18"/>
                <w:lang w:bidi="ar"/>
              </w:rPr>
              <w:t>查资料、查现场</w:t>
            </w:r>
          </w:p>
        </w:tc>
        <w:tc>
          <w:tcPr>
            <w:tcW w:w="2268" w:type="dxa"/>
            <w:vMerge w:val="continue"/>
            <w:noWrap w:val="0"/>
            <w:tcMar>
              <w:top w:w="12" w:type="dxa"/>
              <w:left w:w="12" w:type="dxa"/>
              <w:right w:w="12" w:type="dxa"/>
            </w:tcMar>
            <w:vAlign w:val="center"/>
          </w:tcPr>
          <w:p w14:paraId="4DCE5C70">
            <w:pPr>
              <w:adjustRightInd w:val="0"/>
              <w:snapToGrid w:val="0"/>
              <w:spacing w:line="240" w:lineRule="atLeast"/>
              <w:jc w:val="left"/>
              <w:rPr>
                <w:rFonts w:hint="eastAsia" w:ascii="宋体" w:hAnsi="宋体"/>
                <w:kern w:val="0"/>
                <w:sz w:val="18"/>
                <w:szCs w:val="18"/>
              </w:rPr>
            </w:pPr>
          </w:p>
        </w:tc>
        <w:tc>
          <w:tcPr>
            <w:tcW w:w="1790" w:type="dxa"/>
            <w:vMerge w:val="continue"/>
            <w:noWrap w:val="0"/>
            <w:tcMar>
              <w:top w:w="12" w:type="dxa"/>
              <w:left w:w="12" w:type="dxa"/>
              <w:right w:w="12" w:type="dxa"/>
            </w:tcMar>
            <w:vAlign w:val="center"/>
          </w:tcPr>
          <w:p w14:paraId="41060169">
            <w:pPr>
              <w:adjustRightInd w:val="0"/>
              <w:snapToGrid w:val="0"/>
              <w:spacing w:line="240" w:lineRule="atLeast"/>
              <w:jc w:val="center"/>
              <w:rPr>
                <w:rFonts w:hint="eastAsia" w:ascii="宋体" w:hAnsi="宋体"/>
                <w:kern w:val="0"/>
                <w:sz w:val="18"/>
                <w:szCs w:val="18"/>
              </w:rPr>
            </w:pPr>
          </w:p>
        </w:tc>
      </w:tr>
      <w:tr w14:paraId="6AE9E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5" w:hRule="atLeast"/>
          <w:jc w:val="center"/>
        </w:trPr>
        <w:tc>
          <w:tcPr>
            <w:tcW w:w="3879" w:type="dxa"/>
            <w:vMerge w:val="continue"/>
            <w:noWrap w:val="0"/>
            <w:tcMar>
              <w:top w:w="12" w:type="dxa"/>
              <w:left w:w="12" w:type="dxa"/>
              <w:right w:w="12" w:type="dxa"/>
            </w:tcMar>
            <w:vAlign w:val="center"/>
          </w:tcPr>
          <w:p w14:paraId="68CEC289">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68D8DB73">
            <w:pPr>
              <w:widowControl/>
              <w:adjustRightInd w:val="0"/>
              <w:snapToGrid w:val="0"/>
              <w:spacing w:line="240" w:lineRule="atLeast"/>
              <w:textAlignment w:val="center"/>
              <w:rPr>
                <w:rFonts w:hint="eastAsia" w:ascii="宋体" w:hAnsi="宋体"/>
                <w:color w:val="FF0000"/>
                <w:kern w:val="0"/>
                <w:sz w:val="18"/>
                <w:szCs w:val="18"/>
                <w:lang w:bidi="ar"/>
              </w:rPr>
            </w:pPr>
            <w:r>
              <w:rPr>
                <w:rFonts w:hint="eastAsia" w:ascii="宋体" w:hAnsi="宋体"/>
                <w:kern w:val="0"/>
                <w:sz w:val="18"/>
                <w:szCs w:val="18"/>
                <w:lang w:bidi="ar"/>
              </w:rPr>
              <w:t>5.</w:t>
            </w:r>
            <w:r>
              <w:rPr>
                <w:rFonts w:ascii="宋体" w:hAnsi="宋体"/>
                <w:kern w:val="0"/>
                <w:sz w:val="18"/>
                <w:szCs w:val="18"/>
                <w:lang w:bidi="ar"/>
              </w:rPr>
              <w:t>近</w:t>
            </w:r>
            <w:r>
              <w:rPr>
                <w:rFonts w:hint="eastAsia" w:ascii="宋体" w:hAnsi="宋体"/>
                <w:kern w:val="0"/>
                <w:sz w:val="18"/>
                <w:szCs w:val="18"/>
                <w:lang w:bidi="ar"/>
              </w:rPr>
              <w:t>五</w:t>
            </w:r>
            <w:r>
              <w:rPr>
                <w:rFonts w:ascii="宋体" w:hAnsi="宋体"/>
                <w:kern w:val="0"/>
                <w:sz w:val="18"/>
                <w:szCs w:val="18"/>
                <w:lang w:bidi="ar"/>
              </w:rPr>
              <w:t>年内相关成果、业绩被省级及以上通报表扬或列入典型案例进行宣传报道的，1项得1分（各类奖项荣誉应体现</w:t>
            </w:r>
            <w:r>
              <w:rPr>
                <w:rFonts w:hint="eastAsia" w:ascii="宋体" w:hAnsi="宋体"/>
                <w:kern w:val="0"/>
                <w:sz w:val="18"/>
                <w:szCs w:val="18"/>
                <w:lang w:bidi="ar"/>
              </w:rPr>
              <w:t>矿业权人</w:t>
            </w:r>
            <w:r>
              <w:rPr>
                <w:rFonts w:ascii="宋体" w:hAnsi="宋体"/>
                <w:kern w:val="0"/>
                <w:sz w:val="18"/>
                <w:szCs w:val="18"/>
                <w:lang w:bidi="ar"/>
              </w:rPr>
              <w:t>名称）</w:t>
            </w:r>
            <w:r>
              <w:rPr>
                <w:rFonts w:hint="eastAsia" w:ascii="宋体" w:hAnsi="宋体"/>
                <w:kern w:val="0"/>
                <w:sz w:val="18"/>
                <w:szCs w:val="18"/>
                <w:lang w:bidi="ar"/>
              </w:rPr>
              <w:t>。</w:t>
            </w:r>
          </w:p>
        </w:tc>
        <w:tc>
          <w:tcPr>
            <w:tcW w:w="992" w:type="dxa"/>
            <w:noWrap w:val="0"/>
            <w:tcMar>
              <w:top w:w="12" w:type="dxa"/>
              <w:left w:w="12" w:type="dxa"/>
              <w:right w:w="12" w:type="dxa"/>
            </w:tcMar>
            <w:vAlign w:val="center"/>
          </w:tcPr>
          <w:p w14:paraId="3FBC42CA">
            <w:pPr>
              <w:widowControl/>
              <w:adjustRightInd w:val="0"/>
              <w:snapToGrid w:val="0"/>
              <w:spacing w:line="240" w:lineRule="atLeast"/>
              <w:jc w:val="left"/>
              <w:textAlignment w:val="center"/>
              <w:rPr>
                <w:rFonts w:hint="eastAsia" w:ascii="宋体" w:hAnsi="宋体"/>
                <w:kern w:val="0"/>
                <w:sz w:val="18"/>
                <w:szCs w:val="18"/>
                <w:lang w:bidi="ar"/>
              </w:rPr>
            </w:pPr>
            <w:r>
              <w:rPr>
                <w:rFonts w:ascii="宋体" w:hAnsi="宋体"/>
                <w:color w:val="000000"/>
                <w:kern w:val="0"/>
                <w:sz w:val="18"/>
                <w:szCs w:val="18"/>
                <w:lang w:bidi="ar"/>
              </w:rPr>
              <w:t>查资料、查现场</w:t>
            </w:r>
          </w:p>
        </w:tc>
        <w:tc>
          <w:tcPr>
            <w:tcW w:w="2268" w:type="dxa"/>
            <w:vMerge w:val="continue"/>
            <w:noWrap w:val="0"/>
            <w:tcMar>
              <w:top w:w="12" w:type="dxa"/>
              <w:left w:w="12" w:type="dxa"/>
              <w:right w:w="12" w:type="dxa"/>
            </w:tcMar>
            <w:vAlign w:val="center"/>
          </w:tcPr>
          <w:p w14:paraId="54989A75">
            <w:pPr>
              <w:adjustRightInd w:val="0"/>
              <w:snapToGrid w:val="0"/>
              <w:spacing w:line="240" w:lineRule="atLeast"/>
              <w:jc w:val="left"/>
              <w:rPr>
                <w:rFonts w:hint="eastAsia" w:ascii="宋体" w:hAnsi="宋体"/>
                <w:kern w:val="0"/>
                <w:sz w:val="18"/>
                <w:szCs w:val="18"/>
              </w:rPr>
            </w:pPr>
          </w:p>
        </w:tc>
        <w:tc>
          <w:tcPr>
            <w:tcW w:w="1790" w:type="dxa"/>
            <w:vMerge w:val="continue"/>
            <w:noWrap w:val="0"/>
            <w:tcMar>
              <w:top w:w="12" w:type="dxa"/>
              <w:left w:w="12" w:type="dxa"/>
              <w:right w:w="12" w:type="dxa"/>
            </w:tcMar>
            <w:vAlign w:val="center"/>
          </w:tcPr>
          <w:p w14:paraId="11246A19">
            <w:pPr>
              <w:adjustRightInd w:val="0"/>
              <w:snapToGrid w:val="0"/>
              <w:spacing w:line="240" w:lineRule="atLeast"/>
              <w:jc w:val="center"/>
              <w:rPr>
                <w:rFonts w:hint="eastAsia" w:ascii="宋体" w:hAnsi="宋体"/>
                <w:kern w:val="0"/>
                <w:sz w:val="18"/>
                <w:szCs w:val="18"/>
              </w:rPr>
            </w:pPr>
          </w:p>
        </w:tc>
      </w:tr>
      <w:tr w14:paraId="298C5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8" w:hRule="atLeast"/>
          <w:jc w:val="center"/>
        </w:trPr>
        <w:tc>
          <w:tcPr>
            <w:tcW w:w="3879" w:type="dxa"/>
            <w:vMerge w:val="continue"/>
            <w:noWrap w:val="0"/>
            <w:tcMar>
              <w:top w:w="12" w:type="dxa"/>
              <w:left w:w="12" w:type="dxa"/>
              <w:right w:w="12" w:type="dxa"/>
            </w:tcMar>
            <w:vAlign w:val="center"/>
          </w:tcPr>
          <w:p w14:paraId="3F1FDB1E">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4BDD0F88">
            <w:pPr>
              <w:widowControl/>
              <w:adjustRightInd w:val="0"/>
              <w:snapToGrid w:val="0"/>
              <w:spacing w:line="240" w:lineRule="atLeast"/>
              <w:textAlignment w:val="center"/>
              <w:rPr>
                <w:rFonts w:hint="eastAsia" w:ascii="宋体" w:hAnsi="宋体"/>
                <w:kern w:val="0"/>
                <w:sz w:val="18"/>
                <w:szCs w:val="18"/>
                <w:lang w:bidi="ar"/>
              </w:rPr>
            </w:pPr>
            <w:r>
              <w:rPr>
                <w:rFonts w:hint="eastAsia" w:ascii="宋体" w:hAnsi="宋体"/>
                <w:kern w:val="0"/>
                <w:sz w:val="18"/>
                <w:szCs w:val="18"/>
                <w:lang w:bidi="ar"/>
              </w:rPr>
              <w:t>6.纳入最新版“国家先进适用技术目录”中的（除《矿产资源节约和综合利用先进适用技术目录》外），1项得2分。</w:t>
            </w:r>
          </w:p>
          <w:p w14:paraId="1EA6BD50">
            <w:pPr>
              <w:widowControl/>
              <w:adjustRightInd w:val="0"/>
              <w:snapToGrid w:val="0"/>
              <w:spacing w:line="240" w:lineRule="atLeast"/>
              <w:textAlignment w:val="center"/>
              <w:rPr>
                <w:rFonts w:hint="eastAsia" w:ascii="宋体" w:hAnsi="宋体"/>
                <w:color w:val="FF0000"/>
                <w:kern w:val="0"/>
                <w:sz w:val="18"/>
                <w:szCs w:val="18"/>
                <w:lang w:bidi="ar"/>
              </w:rPr>
            </w:pPr>
            <w:r>
              <w:rPr>
                <w:rFonts w:hint="eastAsia" w:ascii="宋体" w:hAnsi="宋体"/>
                <w:kern w:val="0"/>
                <w:sz w:val="18"/>
                <w:szCs w:val="18"/>
                <w:lang w:bidi="ar"/>
              </w:rPr>
              <w:t>使用“国家先进适用技术目录”中的技术，1项得1分。</w:t>
            </w:r>
          </w:p>
        </w:tc>
        <w:tc>
          <w:tcPr>
            <w:tcW w:w="992" w:type="dxa"/>
            <w:noWrap w:val="0"/>
            <w:tcMar>
              <w:top w:w="12" w:type="dxa"/>
              <w:left w:w="12" w:type="dxa"/>
              <w:right w:w="12" w:type="dxa"/>
            </w:tcMar>
            <w:vAlign w:val="center"/>
          </w:tcPr>
          <w:p w14:paraId="4E81A8B9">
            <w:pPr>
              <w:widowControl/>
              <w:adjustRightInd w:val="0"/>
              <w:snapToGrid w:val="0"/>
              <w:spacing w:line="240" w:lineRule="atLeast"/>
              <w:jc w:val="left"/>
              <w:textAlignment w:val="center"/>
              <w:rPr>
                <w:rFonts w:ascii="宋体" w:hAnsi="宋体"/>
                <w:b/>
                <w:bCs/>
                <w:sz w:val="18"/>
                <w:szCs w:val="18"/>
              </w:rPr>
            </w:pPr>
            <w:r>
              <w:rPr>
                <w:rFonts w:ascii="宋体" w:hAnsi="宋体"/>
                <w:color w:val="000000"/>
                <w:kern w:val="0"/>
                <w:sz w:val="18"/>
                <w:szCs w:val="18"/>
                <w:lang w:bidi="ar"/>
              </w:rPr>
              <w:t>查资料、查现场</w:t>
            </w:r>
          </w:p>
        </w:tc>
        <w:tc>
          <w:tcPr>
            <w:tcW w:w="2268" w:type="dxa"/>
            <w:vMerge w:val="continue"/>
            <w:noWrap w:val="0"/>
            <w:tcMar>
              <w:top w:w="12" w:type="dxa"/>
              <w:left w:w="12" w:type="dxa"/>
              <w:right w:w="12" w:type="dxa"/>
            </w:tcMar>
            <w:vAlign w:val="center"/>
          </w:tcPr>
          <w:p w14:paraId="620AB67A">
            <w:pPr>
              <w:adjustRightInd w:val="0"/>
              <w:snapToGrid w:val="0"/>
              <w:spacing w:line="240" w:lineRule="atLeast"/>
              <w:jc w:val="left"/>
              <w:rPr>
                <w:rFonts w:hint="eastAsia" w:ascii="宋体" w:hAnsi="宋体"/>
                <w:kern w:val="0"/>
                <w:sz w:val="18"/>
                <w:szCs w:val="18"/>
              </w:rPr>
            </w:pPr>
          </w:p>
        </w:tc>
        <w:tc>
          <w:tcPr>
            <w:tcW w:w="1790" w:type="dxa"/>
            <w:vMerge w:val="continue"/>
            <w:noWrap w:val="0"/>
            <w:tcMar>
              <w:top w:w="12" w:type="dxa"/>
              <w:left w:w="12" w:type="dxa"/>
              <w:right w:w="12" w:type="dxa"/>
            </w:tcMar>
            <w:vAlign w:val="center"/>
          </w:tcPr>
          <w:p w14:paraId="63198416">
            <w:pPr>
              <w:adjustRightInd w:val="0"/>
              <w:snapToGrid w:val="0"/>
              <w:spacing w:line="240" w:lineRule="atLeast"/>
              <w:jc w:val="center"/>
              <w:rPr>
                <w:rFonts w:hint="eastAsia" w:ascii="宋体" w:hAnsi="宋体"/>
                <w:kern w:val="0"/>
                <w:sz w:val="18"/>
                <w:szCs w:val="18"/>
              </w:rPr>
            </w:pPr>
          </w:p>
        </w:tc>
      </w:tr>
      <w:tr w14:paraId="4717A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8" w:hRule="atLeast"/>
          <w:jc w:val="center"/>
        </w:trPr>
        <w:tc>
          <w:tcPr>
            <w:tcW w:w="3879" w:type="dxa"/>
            <w:vMerge w:val="continue"/>
            <w:noWrap w:val="0"/>
            <w:tcMar>
              <w:top w:w="12" w:type="dxa"/>
              <w:left w:w="12" w:type="dxa"/>
              <w:right w:w="12" w:type="dxa"/>
            </w:tcMar>
            <w:vAlign w:val="center"/>
          </w:tcPr>
          <w:p w14:paraId="14388F14">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0050BFD5">
            <w:pPr>
              <w:widowControl/>
              <w:adjustRightInd w:val="0"/>
              <w:snapToGrid w:val="0"/>
              <w:spacing w:line="240" w:lineRule="atLeast"/>
              <w:textAlignment w:val="center"/>
              <w:rPr>
                <w:rFonts w:hint="eastAsia" w:ascii="宋体" w:hAnsi="宋体"/>
                <w:color w:val="FF0000"/>
                <w:kern w:val="0"/>
                <w:sz w:val="18"/>
                <w:szCs w:val="18"/>
                <w:highlight w:val="yellow"/>
                <w:lang w:bidi="ar"/>
              </w:rPr>
            </w:pPr>
            <w:r>
              <w:rPr>
                <w:rFonts w:hint="eastAsia" w:ascii="宋体" w:hAnsi="宋体"/>
                <w:kern w:val="0"/>
                <w:sz w:val="18"/>
                <w:szCs w:val="18"/>
                <w:lang w:bidi="ar"/>
              </w:rPr>
              <w:t>7.建立矿山内部统一数据管理服务系统，实现各业务系统数据互联互通，形成数据的统一采集、标准化处理与安全存储机制，为绿色矿山运行提供完整、准确、及时的数据资源，得2分。</w:t>
            </w:r>
          </w:p>
        </w:tc>
        <w:tc>
          <w:tcPr>
            <w:tcW w:w="992" w:type="dxa"/>
            <w:noWrap w:val="0"/>
            <w:tcMar>
              <w:top w:w="12" w:type="dxa"/>
              <w:left w:w="12" w:type="dxa"/>
              <w:right w:w="12" w:type="dxa"/>
            </w:tcMar>
            <w:vAlign w:val="center"/>
          </w:tcPr>
          <w:p w14:paraId="32C909E4">
            <w:pPr>
              <w:widowControl/>
              <w:adjustRightInd w:val="0"/>
              <w:snapToGrid w:val="0"/>
              <w:spacing w:line="240" w:lineRule="atLeast"/>
              <w:jc w:val="left"/>
              <w:textAlignment w:val="center"/>
              <w:rPr>
                <w:rFonts w:hint="eastAsia" w:ascii="宋体" w:hAnsi="宋体"/>
                <w:color w:val="000000"/>
                <w:kern w:val="0"/>
                <w:sz w:val="18"/>
                <w:szCs w:val="18"/>
                <w:lang w:bidi="ar"/>
              </w:rPr>
            </w:pPr>
            <w:r>
              <w:rPr>
                <w:rFonts w:ascii="宋体" w:hAnsi="宋体"/>
                <w:color w:val="000000"/>
                <w:kern w:val="0"/>
                <w:sz w:val="18"/>
                <w:szCs w:val="18"/>
                <w:lang w:bidi="ar"/>
              </w:rPr>
              <w:t>查资料、查现场</w:t>
            </w:r>
          </w:p>
        </w:tc>
        <w:tc>
          <w:tcPr>
            <w:tcW w:w="2268" w:type="dxa"/>
            <w:noWrap w:val="0"/>
            <w:tcMar>
              <w:top w:w="12" w:type="dxa"/>
              <w:left w:w="12" w:type="dxa"/>
              <w:right w:w="12" w:type="dxa"/>
            </w:tcMar>
            <w:vAlign w:val="center"/>
          </w:tcPr>
          <w:p w14:paraId="59A44D89">
            <w:pPr>
              <w:adjustRightInd w:val="0"/>
              <w:snapToGrid w:val="0"/>
              <w:spacing w:line="240" w:lineRule="atLeast"/>
              <w:jc w:val="left"/>
              <w:rPr>
                <w:rFonts w:hint="eastAsia" w:ascii="宋体" w:hAnsi="宋体"/>
                <w:kern w:val="0"/>
                <w:sz w:val="18"/>
                <w:szCs w:val="18"/>
              </w:rPr>
            </w:pPr>
          </w:p>
        </w:tc>
        <w:tc>
          <w:tcPr>
            <w:tcW w:w="1790" w:type="dxa"/>
            <w:vMerge w:val="continue"/>
            <w:noWrap w:val="0"/>
            <w:tcMar>
              <w:top w:w="12" w:type="dxa"/>
              <w:left w:w="12" w:type="dxa"/>
              <w:right w:w="12" w:type="dxa"/>
            </w:tcMar>
            <w:vAlign w:val="center"/>
          </w:tcPr>
          <w:p w14:paraId="0A0B1A11">
            <w:pPr>
              <w:adjustRightInd w:val="0"/>
              <w:snapToGrid w:val="0"/>
              <w:spacing w:line="240" w:lineRule="atLeast"/>
              <w:jc w:val="center"/>
              <w:rPr>
                <w:rFonts w:hint="eastAsia" w:ascii="宋体" w:hAnsi="宋体"/>
                <w:kern w:val="0"/>
                <w:sz w:val="18"/>
                <w:szCs w:val="18"/>
              </w:rPr>
            </w:pPr>
          </w:p>
        </w:tc>
      </w:tr>
      <w:tr w14:paraId="09C66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8" w:hRule="atLeast"/>
          <w:jc w:val="center"/>
        </w:trPr>
        <w:tc>
          <w:tcPr>
            <w:tcW w:w="3879" w:type="dxa"/>
            <w:vMerge w:val="continue"/>
            <w:noWrap w:val="0"/>
            <w:tcMar>
              <w:top w:w="12" w:type="dxa"/>
              <w:left w:w="12" w:type="dxa"/>
              <w:right w:w="12" w:type="dxa"/>
            </w:tcMar>
            <w:vAlign w:val="center"/>
          </w:tcPr>
          <w:p w14:paraId="22F1AA81">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4F56BFBF">
            <w:pPr>
              <w:widowControl/>
              <w:adjustRightInd w:val="0"/>
              <w:snapToGrid w:val="0"/>
              <w:spacing w:line="240" w:lineRule="atLeast"/>
              <w:textAlignment w:val="center"/>
              <w:rPr>
                <w:rFonts w:hint="eastAsia" w:ascii="宋体" w:hAnsi="宋体"/>
                <w:color w:val="FF0000"/>
                <w:kern w:val="0"/>
                <w:sz w:val="18"/>
                <w:szCs w:val="18"/>
                <w:highlight w:val="yellow"/>
                <w:lang w:bidi="ar"/>
              </w:rPr>
            </w:pPr>
            <w:r>
              <w:rPr>
                <w:rFonts w:hint="eastAsia" w:ascii="宋体" w:hAnsi="宋体"/>
                <w:kern w:val="0"/>
                <w:sz w:val="18"/>
                <w:szCs w:val="18"/>
                <w:lang w:bidi="ar"/>
              </w:rPr>
              <w:t>8.建立广泛分布、高度易用的决策咨询体系，实现生产、设备、安全、环保、经营等多源数据融合分析，为资源节约利用、节能降耗减排、安全风险智能预警、环境动态精准管控等提供决策支持，得2分。</w:t>
            </w:r>
          </w:p>
        </w:tc>
        <w:tc>
          <w:tcPr>
            <w:tcW w:w="992" w:type="dxa"/>
            <w:noWrap w:val="0"/>
            <w:tcMar>
              <w:top w:w="12" w:type="dxa"/>
              <w:left w:w="12" w:type="dxa"/>
              <w:right w:w="12" w:type="dxa"/>
            </w:tcMar>
            <w:vAlign w:val="center"/>
          </w:tcPr>
          <w:p w14:paraId="00055232">
            <w:pPr>
              <w:widowControl/>
              <w:adjustRightInd w:val="0"/>
              <w:snapToGrid w:val="0"/>
              <w:spacing w:line="240" w:lineRule="atLeast"/>
              <w:jc w:val="left"/>
              <w:textAlignment w:val="center"/>
              <w:rPr>
                <w:rFonts w:hint="eastAsia" w:ascii="宋体" w:hAnsi="宋体"/>
                <w:color w:val="000000"/>
                <w:kern w:val="0"/>
                <w:sz w:val="18"/>
                <w:szCs w:val="18"/>
                <w:lang w:bidi="ar"/>
              </w:rPr>
            </w:pPr>
            <w:r>
              <w:rPr>
                <w:rFonts w:ascii="宋体" w:hAnsi="宋体"/>
                <w:color w:val="000000"/>
                <w:kern w:val="0"/>
                <w:sz w:val="18"/>
                <w:szCs w:val="18"/>
                <w:lang w:bidi="ar"/>
              </w:rPr>
              <w:t>查资料、查现场</w:t>
            </w:r>
          </w:p>
        </w:tc>
        <w:tc>
          <w:tcPr>
            <w:tcW w:w="2268" w:type="dxa"/>
            <w:noWrap w:val="0"/>
            <w:tcMar>
              <w:top w:w="12" w:type="dxa"/>
              <w:left w:w="12" w:type="dxa"/>
              <w:right w:w="12" w:type="dxa"/>
            </w:tcMar>
            <w:vAlign w:val="center"/>
          </w:tcPr>
          <w:p w14:paraId="180973AE">
            <w:pPr>
              <w:adjustRightInd w:val="0"/>
              <w:snapToGrid w:val="0"/>
              <w:spacing w:line="240" w:lineRule="atLeast"/>
              <w:jc w:val="left"/>
              <w:rPr>
                <w:rFonts w:hint="eastAsia" w:ascii="宋体" w:hAnsi="宋体"/>
                <w:kern w:val="0"/>
                <w:sz w:val="18"/>
                <w:szCs w:val="18"/>
              </w:rPr>
            </w:pPr>
          </w:p>
        </w:tc>
        <w:tc>
          <w:tcPr>
            <w:tcW w:w="1790" w:type="dxa"/>
            <w:vMerge w:val="continue"/>
            <w:noWrap w:val="0"/>
            <w:tcMar>
              <w:top w:w="12" w:type="dxa"/>
              <w:left w:w="12" w:type="dxa"/>
              <w:right w:w="12" w:type="dxa"/>
            </w:tcMar>
            <w:vAlign w:val="center"/>
          </w:tcPr>
          <w:p w14:paraId="4BDF01B0">
            <w:pPr>
              <w:adjustRightInd w:val="0"/>
              <w:snapToGrid w:val="0"/>
              <w:spacing w:line="240" w:lineRule="atLeast"/>
              <w:jc w:val="center"/>
              <w:rPr>
                <w:rFonts w:hint="eastAsia" w:ascii="宋体" w:hAnsi="宋体"/>
                <w:kern w:val="0"/>
                <w:sz w:val="18"/>
                <w:szCs w:val="18"/>
              </w:rPr>
            </w:pPr>
          </w:p>
        </w:tc>
      </w:tr>
      <w:tr w14:paraId="7142C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8" w:hRule="atLeast"/>
          <w:jc w:val="center"/>
        </w:trPr>
        <w:tc>
          <w:tcPr>
            <w:tcW w:w="3879" w:type="dxa"/>
            <w:vMerge w:val="continue"/>
            <w:noWrap w:val="0"/>
            <w:tcMar>
              <w:top w:w="12" w:type="dxa"/>
              <w:left w:w="12" w:type="dxa"/>
              <w:right w:w="12" w:type="dxa"/>
            </w:tcMar>
            <w:vAlign w:val="center"/>
          </w:tcPr>
          <w:p w14:paraId="41783DD1">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5675D922">
            <w:pPr>
              <w:widowControl/>
              <w:adjustRightInd w:val="0"/>
              <w:snapToGrid w:val="0"/>
              <w:spacing w:line="240" w:lineRule="atLeast"/>
              <w:textAlignment w:val="center"/>
              <w:rPr>
                <w:rFonts w:hint="eastAsia" w:ascii="宋体" w:hAnsi="宋体"/>
                <w:color w:val="FF0000"/>
                <w:kern w:val="0"/>
                <w:sz w:val="18"/>
                <w:szCs w:val="18"/>
                <w:highlight w:val="yellow"/>
                <w:lang w:bidi="ar"/>
              </w:rPr>
            </w:pPr>
            <w:r>
              <w:rPr>
                <w:rFonts w:hint="eastAsia" w:ascii="宋体" w:hAnsi="宋体"/>
                <w:kern w:val="0"/>
                <w:sz w:val="18"/>
                <w:szCs w:val="18"/>
                <w:lang w:bidi="ar"/>
              </w:rPr>
              <w:t>9</w:t>
            </w:r>
            <w:r>
              <w:rPr>
                <w:rFonts w:ascii="宋体" w:hAnsi="宋体"/>
                <w:kern w:val="0"/>
                <w:sz w:val="18"/>
                <w:szCs w:val="18"/>
                <w:lang w:bidi="ar"/>
              </w:rPr>
              <w:t>.建立“三率”动态监测系统，监测数据应按照规定格式实现自动采集和传输，监测数据与结果接入自然资源主管部门绿色矿山监督监管体系，每实现“三率”指标一项得</w:t>
            </w:r>
            <w:r>
              <w:rPr>
                <w:rFonts w:hint="eastAsia" w:ascii="宋体" w:hAnsi="宋体"/>
                <w:kern w:val="0"/>
                <w:sz w:val="18"/>
                <w:szCs w:val="18"/>
                <w:lang w:bidi="ar"/>
              </w:rPr>
              <w:t>2</w:t>
            </w:r>
            <w:r>
              <w:rPr>
                <w:rFonts w:ascii="宋体" w:hAnsi="宋体"/>
                <w:kern w:val="0"/>
                <w:sz w:val="18"/>
                <w:szCs w:val="18"/>
                <w:lang w:bidi="ar"/>
              </w:rPr>
              <w:t>分</w:t>
            </w:r>
            <w:r>
              <w:rPr>
                <w:rFonts w:hint="eastAsia" w:ascii="宋体" w:hAnsi="宋体"/>
                <w:kern w:val="0"/>
                <w:sz w:val="18"/>
                <w:szCs w:val="18"/>
                <w:lang w:bidi="ar"/>
              </w:rPr>
              <w:t>。</w:t>
            </w:r>
          </w:p>
        </w:tc>
        <w:tc>
          <w:tcPr>
            <w:tcW w:w="992" w:type="dxa"/>
            <w:vMerge w:val="restart"/>
            <w:noWrap w:val="0"/>
            <w:tcMar>
              <w:top w:w="12" w:type="dxa"/>
              <w:left w:w="12" w:type="dxa"/>
              <w:right w:w="12" w:type="dxa"/>
            </w:tcMar>
            <w:vAlign w:val="center"/>
          </w:tcPr>
          <w:p w14:paraId="57C7E14C">
            <w:pPr>
              <w:widowControl/>
              <w:adjustRightInd w:val="0"/>
              <w:snapToGrid w:val="0"/>
              <w:spacing w:line="240" w:lineRule="atLeast"/>
              <w:jc w:val="left"/>
              <w:textAlignment w:val="center"/>
              <w:rPr>
                <w:rFonts w:hint="eastAsia" w:ascii="宋体" w:hAnsi="宋体"/>
                <w:kern w:val="0"/>
                <w:sz w:val="18"/>
                <w:szCs w:val="18"/>
                <w:lang w:bidi="ar"/>
              </w:rPr>
            </w:pPr>
            <w:r>
              <w:rPr>
                <w:rFonts w:ascii="宋体" w:hAnsi="宋体"/>
                <w:color w:val="000000"/>
                <w:kern w:val="0"/>
                <w:sz w:val="18"/>
                <w:szCs w:val="18"/>
                <w:lang w:bidi="ar"/>
              </w:rPr>
              <w:t>查资料、查现场</w:t>
            </w:r>
            <w:r>
              <w:rPr>
                <w:rFonts w:ascii="宋体" w:hAnsi="宋体"/>
                <w:kern w:val="0"/>
                <w:sz w:val="18"/>
                <w:szCs w:val="18"/>
                <w:lang w:bidi="ar"/>
              </w:rPr>
              <w:t>、数据连通</w:t>
            </w:r>
          </w:p>
        </w:tc>
        <w:tc>
          <w:tcPr>
            <w:tcW w:w="2268" w:type="dxa"/>
            <w:vMerge w:val="restart"/>
            <w:noWrap w:val="0"/>
            <w:tcMar>
              <w:top w:w="12" w:type="dxa"/>
              <w:left w:w="12" w:type="dxa"/>
              <w:right w:w="12" w:type="dxa"/>
            </w:tcMar>
            <w:vAlign w:val="center"/>
          </w:tcPr>
          <w:p w14:paraId="07A69D7B">
            <w:pPr>
              <w:adjustRightInd w:val="0"/>
              <w:snapToGrid w:val="0"/>
              <w:spacing w:line="240" w:lineRule="atLeast"/>
              <w:jc w:val="left"/>
              <w:rPr>
                <w:rFonts w:hint="eastAsia" w:ascii="宋体" w:hAnsi="宋体"/>
                <w:kern w:val="0"/>
                <w:sz w:val="18"/>
                <w:szCs w:val="18"/>
              </w:rPr>
            </w:pPr>
          </w:p>
        </w:tc>
        <w:tc>
          <w:tcPr>
            <w:tcW w:w="1790" w:type="dxa"/>
            <w:vMerge w:val="restart"/>
            <w:noWrap w:val="0"/>
            <w:tcMar>
              <w:top w:w="12" w:type="dxa"/>
              <w:left w:w="12" w:type="dxa"/>
              <w:right w:w="12" w:type="dxa"/>
            </w:tcMar>
            <w:vAlign w:val="center"/>
          </w:tcPr>
          <w:p w14:paraId="1FF24A24">
            <w:pPr>
              <w:adjustRightInd w:val="0"/>
              <w:snapToGrid w:val="0"/>
              <w:spacing w:line="240" w:lineRule="atLeast"/>
              <w:jc w:val="center"/>
              <w:rPr>
                <w:rFonts w:hint="eastAsia" w:ascii="宋体" w:hAnsi="宋体"/>
                <w:kern w:val="0"/>
                <w:sz w:val="18"/>
                <w:szCs w:val="18"/>
              </w:rPr>
            </w:pPr>
            <w:r>
              <w:rPr>
                <w:rFonts w:ascii="宋体" w:hAnsi="宋体"/>
                <w:kern w:val="0"/>
                <w:sz w:val="18"/>
                <w:szCs w:val="18"/>
              </w:rPr>
              <w:t>奖励性</w:t>
            </w:r>
          </w:p>
          <w:p w14:paraId="61588DA6">
            <w:pPr>
              <w:adjustRightInd w:val="0"/>
              <w:snapToGrid w:val="0"/>
              <w:spacing w:line="240" w:lineRule="atLeast"/>
              <w:jc w:val="center"/>
              <w:rPr>
                <w:rFonts w:hint="eastAsia" w:ascii="宋体" w:hAnsi="宋体"/>
                <w:kern w:val="0"/>
                <w:sz w:val="18"/>
                <w:szCs w:val="18"/>
                <w:highlight w:val="yellow"/>
              </w:rPr>
            </w:pPr>
            <w:r>
              <w:rPr>
                <w:rFonts w:ascii="宋体" w:hAnsi="宋体"/>
                <w:kern w:val="0"/>
                <w:sz w:val="18"/>
                <w:szCs w:val="18"/>
              </w:rPr>
              <w:t>（总分不超过10分）</w:t>
            </w:r>
          </w:p>
        </w:tc>
      </w:tr>
      <w:tr w14:paraId="5C934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3879" w:type="dxa"/>
            <w:vMerge w:val="continue"/>
            <w:noWrap w:val="0"/>
            <w:tcMar>
              <w:top w:w="12" w:type="dxa"/>
              <w:left w:w="12" w:type="dxa"/>
              <w:right w:w="12" w:type="dxa"/>
            </w:tcMar>
            <w:vAlign w:val="center"/>
          </w:tcPr>
          <w:p w14:paraId="3DDE3964">
            <w:pPr>
              <w:snapToGrid w:val="0"/>
              <w:spacing w:line="240" w:lineRule="atLeast"/>
              <w:ind w:firstLine="556"/>
              <w:rPr>
                <w:rFonts w:ascii="宋体" w:hAnsi="宋体" w:eastAsia="仿宋_GB2312"/>
                <w:kern w:val="0"/>
                <w:szCs w:val="20"/>
              </w:rPr>
            </w:pPr>
          </w:p>
        </w:tc>
        <w:tc>
          <w:tcPr>
            <w:tcW w:w="5819" w:type="dxa"/>
            <w:noWrap w:val="0"/>
            <w:tcMar>
              <w:top w:w="12" w:type="dxa"/>
              <w:left w:w="12" w:type="dxa"/>
              <w:right w:w="12" w:type="dxa"/>
            </w:tcMar>
            <w:vAlign w:val="center"/>
          </w:tcPr>
          <w:p w14:paraId="6F644EAC">
            <w:pPr>
              <w:widowControl/>
              <w:adjustRightInd w:val="0"/>
              <w:snapToGrid w:val="0"/>
              <w:spacing w:line="240" w:lineRule="atLeast"/>
              <w:textAlignment w:val="center"/>
              <w:rPr>
                <w:rFonts w:hint="eastAsia" w:ascii="宋体" w:hAnsi="宋体"/>
                <w:color w:val="FF0000"/>
                <w:kern w:val="0"/>
                <w:sz w:val="18"/>
                <w:szCs w:val="18"/>
                <w:highlight w:val="yellow"/>
                <w:lang w:bidi="ar"/>
              </w:rPr>
            </w:pPr>
            <w:r>
              <w:rPr>
                <w:rFonts w:hint="eastAsia" w:ascii="宋体" w:hAnsi="宋体"/>
                <w:kern w:val="0"/>
                <w:sz w:val="18"/>
                <w:szCs w:val="18"/>
                <w:lang w:bidi="ar"/>
              </w:rPr>
              <w:t>10</w:t>
            </w:r>
            <w:r>
              <w:rPr>
                <w:rFonts w:ascii="宋体" w:hAnsi="宋体"/>
                <w:kern w:val="0"/>
                <w:sz w:val="18"/>
                <w:szCs w:val="18"/>
                <w:lang w:bidi="ar"/>
              </w:rPr>
              <w:t>.</w:t>
            </w:r>
            <w:r>
              <w:rPr>
                <w:rFonts w:hint="eastAsia" w:ascii="宋体" w:hAnsi="宋体"/>
                <w:kern w:val="0"/>
                <w:sz w:val="18"/>
                <w:szCs w:val="18"/>
                <w:lang w:bidi="ar"/>
              </w:rPr>
              <w:t>矿山各功能区配备智能化监管设备，监管设备采集信号、数据接入自然资源主管部门绿色矿山监督监管体系得8分。</w:t>
            </w:r>
          </w:p>
        </w:tc>
        <w:tc>
          <w:tcPr>
            <w:tcW w:w="992" w:type="dxa"/>
            <w:vMerge w:val="continue"/>
            <w:noWrap w:val="0"/>
            <w:tcMar>
              <w:top w:w="12" w:type="dxa"/>
              <w:left w:w="12" w:type="dxa"/>
              <w:right w:w="12" w:type="dxa"/>
            </w:tcMar>
            <w:vAlign w:val="center"/>
          </w:tcPr>
          <w:p w14:paraId="0B776C08">
            <w:pPr>
              <w:widowControl/>
              <w:adjustRightInd w:val="0"/>
              <w:snapToGrid w:val="0"/>
              <w:spacing w:line="240" w:lineRule="atLeast"/>
              <w:jc w:val="left"/>
              <w:textAlignment w:val="center"/>
              <w:rPr>
                <w:rFonts w:hint="eastAsia" w:ascii="宋体" w:hAnsi="宋体"/>
                <w:kern w:val="0"/>
                <w:sz w:val="18"/>
                <w:szCs w:val="18"/>
                <w:lang w:bidi="ar"/>
              </w:rPr>
            </w:pPr>
          </w:p>
        </w:tc>
        <w:tc>
          <w:tcPr>
            <w:tcW w:w="2268" w:type="dxa"/>
            <w:vMerge w:val="continue"/>
            <w:noWrap w:val="0"/>
            <w:tcMar>
              <w:top w:w="12" w:type="dxa"/>
              <w:left w:w="12" w:type="dxa"/>
              <w:right w:w="12" w:type="dxa"/>
            </w:tcMar>
            <w:vAlign w:val="center"/>
          </w:tcPr>
          <w:p w14:paraId="79E2DDC1">
            <w:pPr>
              <w:adjustRightInd w:val="0"/>
              <w:snapToGrid w:val="0"/>
              <w:spacing w:line="240" w:lineRule="atLeast"/>
              <w:jc w:val="left"/>
              <w:rPr>
                <w:rFonts w:hint="eastAsia" w:ascii="宋体" w:hAnsi="宋体"/>
                <w:kern w:val="0"/>
                <w:sz w:val="18"/>
                <w:szCs w:val="18"/>
              </w:rPr>
            </w:pPr>
          </w:p>
        </w:tc>
        <w:tc>
          <w:tcPr>
            <w:tcW w:w="1790" w:type="dxa"/>
            <w:vMerge w:val="continue"/>
            <w:noWrap w:val="0"/>
            <w:tcMar>
              <w:top w:w="12" w:type="dxa"/>
              <w:left w:w="12" w:type="dxa"/>
              <w:right w:w="12" w:type="dxa"/>
            </w:tcMar>
            <w:vAlign w:val="center"/>
          </w:tcPr>
          <w:p w14:paraId="70D2EFB4">
            <w:pPr>
              <w:adjustRightInd w:val="0"/>
              <w:snapToGrid w:val="0"/>
              <w:spacing w:line="240" w:lineRule="atLeast"/>
              <w:jc w:val="center"/>
              <w:rPr>
                <w:rFonts w:hint="eastAsia" w:ascii="宋体" w:hAnsi="宋体"/>
                <w:kern w:val="0"/>
                <w:sz w:val="18"/>
                <w:szCs w:val="18"/>
              </w:rPr>
            </w:pPr>
          </w:p>
        </w:tc>
      </w:tr>
    </w:tbl>
    <w:p w14:paraId="6FEDDDF2"/>
    <w:sectPr>
      <w:footerReference r:id="rId3" w:type="default"/>
      <w:pgSz w:w="16838" w:h="11906" w:orient="landscape"/>
      <w:pgMar w:top="1020" w:right="1587" w:bottom="907" w:left="1304" w:header="851" w:footer="714" w:gutter="0"/>
      <w:pgNumType w:fmt="decimal" w:start="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51CD807-FA0D-4905-A512-D53BD0497CBF}"/>
  </w:font>
  <w:font w:name="方正黑体简体">
    <w:altName w:val="Arial Unicode MS"/>
    <w:panose1 w:val="03000509000000000000"/>
    <w:charset w:val="86"/>
    <w:family w:val="auto"/>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012D7D4E-FE22-47E8-AA23-B023BDEA475B}"/>
  </w:font>
  <w:font w:name="方正黑体_GBK">
    <w:panose1 w:val="02010600010101010101"/>
    <w:charset w:val="86"/>
    <w:family w:val="script"/>
    <w:pitch w:val="default"/>
    <w:sig w:usb0="00000001" w:usb1="080E0000" w:usb2="00000000" w:usb3="00000000" w:csb0="00040000" w:csb1="00000000"/>
    <w:embedRegular r:id="rId3" w:fontKey="{27F9A78A-943C-4F92-8D08-0CBAE35B333D}"/>
  </w:font>
  <w:font w:name="方正仿宋_GBK">
    <w:panose1 w:val="02000000000000000000"/>
    <w:charset w:val="86"/>
    <w:family w:val="script"/>
    <w:pitch w:val="default"/>
    <w:sig w:usb0="A00002BF" w:usb1="38CF7CFA" w:usb2="00082016" w:usb3="00000000" w:csb0="00040001" w:csb1="00000000"/>
    <w:embedRegular r:id="rId4" w:fontKey="{A05E3A92-31FD-440C-8BEF-2FEA76E2C66B}"/>
  </w:font>
  <w:font w:name="等线">
    <w:panose1 w:val="02010600030101010101"/>
    <w:charset w:val="86"/>
    <w:family w:val="auto"/>
    <w:pitch w:val="default"/>
    <w:sig w:usb0="A00002BF" w:usb1="38CF7CFA" w:usb2="00000016" w:usb3="00000000" w:csb0="0004000F" w:csb1="00000000"/>
    <w:embedRegular r:id="rId5" w:fontKey="{30E3B510-B300-42F2-AA46-752811BCCA9F}"/>
  </w:font>
  <w:font w:name="仿宋_GB2312">
    <w:panose1 w:val="02010609030101010101"/>
    <w:charset w:val="86"/>
    <w:family w:val="modern"/>
    <w:pitch w:val="default"/>
    <w:sig w:usb0="00000001" w:usb1="080E0000" w:usb2="00000000" w:usb3="00000000" w:csb0="00040000" w:csb1="00000000"/>
    <w:embedRegular r:id="rId6" w:fontKey="{880F7980-D727-4A51-8DCB-356C33B0D019}"/>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7BB34">
    <w:pPr>
      <w:pStyle w:val="4"/>
      <w:pageBreakBefore w:val="0"/>
      <w:widowControl w:val="0"/>
      <w:kinsoku/>
      <w:wordWrap/>
      <w:overflowPunct/>
      <w:topLinePunct w:val="0"/>
      <w:autoSpaceDE/>
      <w:autoSpaceDN/>
      <w:bidi w:val="0"/>
      <w:adjustRightInd/>
      <w:snapToGrid/>
      <w:spacing w:line="560" w:lineRule="exact"/>
      <w:ind w:left="0" w:leftChars="0" w:firstLine="0" w:firstLineChars="0"/>
      <w:textAlignment w:val="auto"/>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2632B8"/>
    <w:rsid w:val="01C516A1"/>
    <w:rsid w:val="0238044C"/>
    <w:rsid w:val="047258C7"/>
    <w:rsid w:val="05CE62E0"/>
    <w:rsid w:val="064177AA"/>
    <w:rsid w:val="07EA30E9"/>
    <w:rsid w:val="0835792E"/>
    <w:rsid w:val="08F66710"/>
    <w:rsid w:val="0A4B2F82"/>
    <w:rsid w:val="0A7656FA"/>
    <w:rsid w:val="0AFE4899"/>
    <w:rsid w:val="0C062C2F"/>
    <w:rsid w:val="0FA64FE5"/>
    <w:rsid w:val="0FAE0C91"/>
    <w:rsid w:val="11B470B1"/>
    <w:rsid w:val="13C23B0B"/>
    <w:rsid w:val="13C61ACD"/>
    <w:rsid w:val="151C3799"/>
    <w:rsid w:val="1763307A"/>
    <w:rsid w:val="17BB34D4"/>
    <w:rsid w:val="19480231"/>
    <w:rsid w:val="1A174258"/>
    <w:rsid w:val="1A2F63A2"/>
    <w:rsid w:val="1C523383"/>
    <w:rsid w:val="1D6051C9"/>
    <w:rsid w:val="1E2632B8"/>
    <w:rsid w:val="1FE364A4"/>
    <w:rsid w:val="20316DB2"/>
    <w:rsid w:val="216B7714"/>
    <w:rsid w:val="22E846E5"/>
    <w:rsid w:val="23116F6F"/>
    <w:rsid w:val="24175CD2"/>
    <w:rsid w:val="24627D0E"/>
    <w:rsid w:val="255A40F4"/>
    <w:rsid w:val="25801D6A"/>
    <w:rsid w:val="267F7337"/>
    <w:rsid w:val="27537CDA"/>
    <w:rsid w:val="2C180B8D"/>
    <w:rsid w:val="2D566398"/>
    <w:rsid w:val="2E254D46"/>
    <w:rsid w:val="2E53226B"/>
    <w:rsid w:val="30301667"/>
    <w:rsid w:val="31AE3DFF"/>
    <w:rsid w:val="31E60784"/>
    <w:rsid w:val="33005EB6"/>
    <w:rsid w:val="33D61D32"/>
    <w:rsid w:val="350A0C28"/>
    <w:rsid w:val="3652650B"/>
    <w:rsid w:val="39305C77"/>
    <w:rsid w:val="3CFC1F8D"/>
    <w:rsid w:val="3D9C7583"/>
    <w:rsid w:val="43C01E88"/>
    <w:rsid w:val="49AC60B3"/>
    <w:rsid w:val="4AD14662"/>
    <w:rsid w:val="4C141812"/>
    <w:rsid w:val="4C716858"/>
    <w:rsid w:val="4EC975B3"/>
    <w:rsid w:val="50AE71B1"/>
    <w:rsid w:val="518F2F8C"/>
    <w:rsid w:val="51B07FF9"/>
    <w:rsid w:val="52FF05BB"/>
    <w:rsid w:val="539360C0"/>
    <w:rsid w:val="558651B1"/>
    <w:rsid w:val="56677E1F"/>
    <w:rsid w:val="586C56F4"/>
    <w:rsid w:val="58ED5B81"/>
    <w:rsid w:val="59490913"/>
    <w:rsid w:val="5950093A"/>
    <w:rsid w:val="59D021AA"/>
    <w:rsid w:val="5A7305E7"/>
    <w:rsid w:val="5B9D1953"/>
    <w:rsid w:val="5C6B6CFA"/>
    <w:rsid w:val="5CD57B3A"/>
    <w:rsid w:val="5FC01ED7"/>
    <w:rsid w:val="621D7858"/>
    <w:rsid w:val="62963BFD"/>
    <w:rsid w:val="62C371D1"/>
    <w:rsid w:val="645C2D80"/>
    <w:rsid w:val="6500002F"/>
    <w:rsid w:val="652C04A2"/>
    <w:rsid w:val="68C41083"/>
    <w:rsid w:val="68F46907"/>
    <w:rsid w:val="6956490A"/>
    <w:rsid w:val="6C1E4A4F"/>
    <w:rsid w:val="6CA47842"/>
    <w:rsid w:val="705B4861"/>
    <w:rsid w:val="73BC7A86"/>
    <w:rsid w:val="73BE1C74"/>
    <w:rsid w:val="75153AFB"/>
    <w:rsid w:val="779459B3"/>
    <w:rsid w:val="78004B75"/>
    <w:rsid w:val="78BE5468"/>
    <w:rsid w:val="7BF475C6"/>
    <w:rsid w:val="7C754207"/>
    <w:rsid w:val="7D296A53"/>
    <w:rsid w:val="7F454217"/>
    <w:rsid w:val="7FD0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line="520" w:lineRule="exact"/>
      <w:ind w:firstLine="880" w:firstLineChars="200"/>
      <w:outlineLvl w:val="0"/>
    </w:pPr>
    <w:rPr>
      <w:rFonts w:ascii="黑体" w:hAnsi="黑体" w:eastAsia="方正黑体简体" w:cs="黑体"/>
      <w:bCs/>
      <w:kern w:val="44"/>
      <w:sz w:val="32"/>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1"/>
    <w:qFormat/>
    <w:uiPriority w:val="0"/>
    <w:pPr>
      <w:spacing w:after="120"/>
      <w:ind w:left="420" w:leftChars="200"/>
    </w:pPr>
  </w:style>
  <w:style w:type="paragraph" w:styleId="5">
    <w:name w:val="footer"/>
    <w:basedOn w:val="1"/>
    <w:next w:val="3"/>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17</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2026-03-18T06:45:00Z</dcterms:created>
  <dc:creator>微信用户</dc:creator>
  <cp:lastModifiedBy>微信用户</cp:lastModifiedBy>
  <dcterms:modified xsi:type="dcterms:W3CDTF">2026-03-18T06:47:18Z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562DBFCD7C5D49F8B563959F2ACB8F51_11</vt:lpwstr>
  </property>
  <property fmtid="{D5CDD505-2E9C-101B-9397-08002B2CF9AE}" pid="4" name="KSOTemplateDocerSaveRecord">
    <vt:lpwstr>eyJoZGlkIjoiM2UyNGQ3YjUwMTViZThiNGNjZGE5NTI5MzE1ZDNkMDgiLCJ1c2VySWQiOiIxNDAwMTY2MTcwIn0=</vt:lpwstr>
  </property>
</Properties>
</file>