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60B3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240" w:lineRule="auto"/>
        <w:ind w:firstLine="0" w:firstLineChars="0"/>
        <w:jc w:val="center"/>
        <w:textAlignment w:val="auto"/>
        <w:rPr>
          <w:rFonts w:hint="default" w:ascii="宋体" w:hAnsi="宋体" w:eastAsia="方正小标宋_GBK" w:cs="Times New Roman"/>
          <w:color w:val="auto"/>
          <w:sz w:val="32"/>
          <w:szCs w:val="32"/>
          <w:highlight w:val="none"/>
          <w:u w:val="none"/>
          <w:lang w:val="en-US" w:eastAsia="zh-CN"/>
        </w:rPr>
      </w:pPr>
      <w:bookmarkStart w:id="0" w:name="_Toc16363"/>
      <w:bookmarkStart w:id="1" w:name="_Toc26320"/>
      <w:bookmarkStart w:id="2" w:name="_Toc24421"/>
      <w:bookmarkStart w:id="3" w:name="_Toc24180"/>
    </w:p>
    <w:p w14:paraId="2AC4F7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line="240" w:lineRule="auto"/>
        <w:ind w:firstLine="0" w:firstLineChars="0"/>
        <w:jc w:val="center"/>
        <w:textAlignment w:val="auto"/>
        <w:rPr>
          <w:rFonts w:hint="default" w:ascii="宋体" w:hAnsi="宋体" w:eastAsia="方正小标宋_GBK" w:cs="Times New Roman"/>
          <w:color w:val="auto"/>
          <w:sz w:val="48"/>
          <w:szCs w:val="48"/>
          <w:highlight w:val="none"/>
          <w:u w:val="none"/>
        </w:rPr>
      </w:pPr>
      <w:r>
        <w:rPr>
          <w:rFonts w:hint="default" w:ascii="宋体" w:hAnsi="宋体" w:eastAsia="方正小标宋_GBK" w:cs="Times New Roman"/>
          <w:color w:val="auto"/>
          <w:sz w:val="48"/>
          <w:szCs w:val="48"/>
          <w:highlight w:val="none"/>
          <w:u w:val="none"/>
          <w:lang w:val="en-US" w:eastAsia="zh-CN"/>
        </w:rPr>
        <w:t>云南省</w:t>
      </w:r>
      <w:r>
        <w:rPr>
          <w:rFonts w:hint="default" w:ascii="宋体" w:hAnsi="宋体" w:eastAsia="方正小标宋_GBK" w:cs="Times New Roman"/>
          <w:color w:val="auto"/>
          <w:sz w:val="48"/>
          <w:szCs w:val="48"/>
          <w:highlight w:val="none"/>
          <w:u w:val="none"/>
        </w:rPr>
        <w:t>国土空间规划（2021</w:t>
      </w:r>
      <w:r>
        <w:rPr>
          <w:rFonts w:hint="eastAsia" w:ascii="宋体" w:hAnsi="宋体" w:eastAsia="方正小标宋_GBK" w:cs="Times New Roman"/>
          <w:color w:val="auto"/>
          <w:sz w:val="48"/>
          <w:szCs w:val="48"/>
          <w:highlight w:val="none"/>
          <w:u w:val="none"/>
          <w:lang w:eastAsia="zh-CN"/>
        </w:rPr>
        <w:t>—</w:t>
      </w:r>
      <w:r>
        <w:rPr>
          <w:rFonts w:hint="default" w:ascii="宋体" w:hAnsi="宋体" w:eastAsia="方正小标宋_GBK" w:cs="Times New Roman"/>
          <w:color w:val="auto"/>
          <w:sz w:val="48"/>
          <w:szCs w:val="48"/>
          <w:highlight w:val="none"/>
          <w:u w:val="none"/>
        </w:rPr>
        <w:t>2035年）</w:t>
      </w:r>
    </w:p>
    <w:p w14:paraId="468F110D">
      <w:pPr>
        <w:spacing w:line="600" w:lineRule="auto"/>
        <w:ind w:firstLine="0" w:firstLineChars="0"/>
        <w:jc w:val="center"/>
        <w:rPr>
          <w:rFonts w:hint="default" w:ascii="宋体" w:hAnsi="宋体" w:eastAsia="方正小标宋_GBK" w:cs="Times New Roman"/>
          <w:color w:val="auto"/>
          <w:sz w:val="48"/>
          <w:szCs w:val="48"/>
          <w:highlight w:val="none"/>
          <w:u w:val="none"/>
        </w:rPr>
      </w:pPr>
      <w:r>
        <w:rPr>
          <w:rFonts w:hint="eastAsia" w:ascii="宋体" w:hAnsi="宋体" w:eastAsia="方正小标宋_GBK" w:cs="Times New Roman"/>
          <w:color w:val="auto"/>
          <w:sz w:val="48"/>
          <w:szCs w:val="48"/>
          <w:highlight w:val="none"/>
          <w:u w:val="none"/>
          <w:lang w:val="en-US" w:eastAsia="zh-CN"/>
        </w:rPr>
        <w:t>2026年度</w:t>
      </w:r>
      <w:r>
        <w:rPr>
          <w:rFonts w:hint="default" w:ascii="宋体" w:hAnsi="宋体" w:eastAsia="方正小标宋_GBK" w:cs="Times New Roman"/>
          <w:color w:val="auto"/>
          <w:sz w:val="48"/>
          <w:szCs w:val="48"/>
          <w:highlight w:val="none"/>
          <w:u w:val="none"/>
        </w:rPr>
        <w:t>动态维护方案</w:t>
      </w:r>
    </w:p>
    <w:p w14:paraId="18E875E6">
      <w:pPr>
        <w:spacing w:line="600" w:lineRule="auto"/>
        <w:ind w:firstLine="0" w:firstLineChars="0"/>
        <w:jc w:val="center"/>
        <w:rPr>
          <w:rFonts w:hint="default" w:ascii="宋体" w:hAnsi="宋体" w:eastAsia="方正小标宋_GBK" w:cs="Times New Roman"/>
          <w:color w:val="auto"/>
          <w:sz w:val="48"/>
          <w:szCs w:val="48"/>
          <w:highlight w:val="none"/>
          <w:u w:val="none"/>
        </w:rPr>
      </w:pPr>
      <w:r>
        <w:rPr>
          <w:rFonts w:hint="eastAsia" w:ascii="宋体" w:hAnsi="宋体" w:eastAsia="方正小标宋_GBK" w:cs="Times New Roman"/>
          <w:color w:val="auto"/>
          <w:sz w:val="44"/>
          <w:szCs w:val="44"/>
          <w:highlight w:val="none"/>
          <w:u w:val="none"/>
          <w:lang w:eastAsia="zh-CN"/>
        </w:rPr>
        <w:t>（</w:t>
      </w:r>
      <w:r>
        <w:rPr>
          <w:rFonts w:hint="eastAsia" w:ascii="宋体" w:hAnsi="宋体" w:eastAsia="方正小标宋_GBK" w:cs="Times New Roman"/>
          <w:color w:val="auto"/>
          <w:sz w:val="44"/>
          <w:szCs w:val="44"/>
          <w:highlight w:val="none"/>
          <w:u w:val="none"/>
          <w:lang w:val="en-US" w:eastAsia="zh-CN"/>
        </w:rPr>
        <w:t>公示稿</w:t>
      </w:r>
      <w:r>
        <w:rPr>
          <w:rFonts w:hint="eastAsia" w:ascii="宋体" w:hAnsi="宋体" w:eastAsia="方正小标宋_GBK" w:cs="Times New Roman"/>
          <w:color w:val="auto"/>
          <w:sz w:val="44"/>
          <w:szCs w:val="44"/>
          <w:highlight w:val="none"/>
          <w:u w:val="none"/>
          <w:lang w:eastAsia="zh-CN"/>
        </w:rPr>
        <w:t>）</w:t>
      </w:r>
    </w:p>
    <w:p w14:paraId="10206988">
      <w:pPr>
        <w:pStyle w:val="14"/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p w14:paraId="17A5D590">
      <w:pPr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p w14:paraId="7AB56476">
      <w:pPr>
        <w:pStyle w:val="14"/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p w14:paraId="7F669E2B">
      <w:pPr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p w14:paraId="4529C7CA">
      <w:pPr>
        <w:pStyle w:val="14"/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p w14:paraId="7D57A9CF">
      <w:pPr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p w14:paraId="66C2EFF2">
      <w:pPr>
        <w:pStyle w:val="14"/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p w14:paraId="75548C92">
      <w:pPr>
        <w:pStyle w:val="14"/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p w14:paraId="0FD2F480">
      <w:pPr>
        <w:pStyle w:val="14"/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p w14:paraId="4C5F58B2">
      <w:pPr>
        <w:pStyle w:val="14"/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p w14:paraId="63E893CE">
      <w:pPr>
        <w:pStyle w:val="14"/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p w14:paraId="2C07ADD8">
      <w:pPr>
        <w:pStyle w:val="14"/>
        <w:rPr>
          <w:rFonts w:hint="default" w:ascii="宋体" w:hAnsi="宋体" w:eastAsia="方正小标宋_GBK" w:cs="Times New Roman"/>
          <w:color w:val="auto"/>
          <w:sz w:val="44"/>
          <w:szCs w:val="44"/>
          <w:highlight w:val="none"/>
          <w:u w:val="none"/>
        </w:rPr>
      </w:pPr>
    </w:p>
    <w:bookmarkEnd w:id="0"/>
    <w:bookmarkEnd w:id="1"/>
    <w:bookmarkEnd w:id="2"/>
    <w:bookmarkEnd w:id="3"/>
    <w:p w14:paraId="074A7E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default" w:ascii="宋体" w:hAnsi="宋体" w:eastAsia="黑体" w:cs="Times New Roman"/>
          <w:color w:val="auto"/>
          <w:sz w:val="36"/>
          <w:szCs w:val="36"/>
          <w:highlight w:val="none"/>
          <w:u w:val="none"/>
          <w:lang w:val="en-US" w:eastAsia="zh-CN" w:bidi="ar-SA"/>
        </w:rPr>
      </w:pPr>
      <w:bookmarkStart w:id="4" w:name="_Toc31375"/>
      <w:bookmarkStart w:id="5" w:name="_Toc19714"/>
      <w:bookmarkStart w:id="6" w:name="_Toc14742"/>
      <w:bookmarkStart w:id="7" w:name="_Toc30276"/>
      <w:bookmarkStart w:id="8" w:name="_Toc3812"/>
      <w:bookmarkStart w:id="9" w:name="_Toc30129"/>
      <w:r>
        <w:rPr>
          <w:rFonts w:hint="default" w:ascii="宋体" w:hAnsi="宋体" w:eastAsia="黑体" w:cs="Times New Roman"/>
          <w:color w:val="auto"/>
          <w:sz w:val="36"/>
          <w:szCs w:val="36"/>
          <w:highlight w:val="none"/>
          <w:u w:val="none"/>
          <w:lang w:val="en-US" w:eastAsia="zh-CN" w:bidi="ar-SA"/>
        </w:rPr>
        <w:t>2026年</w:t>
      </w:r>
      <w:r>
        <w:rPr>
          <w:rFonts w:hint="eastAsia" w:ascii="宋体" w:hAnsi="宋体" w:eastAsia="黑体" w:cs="Times New Roman"/>
          <w:color w:val="auto"/>
          <w:sz w:val="36"/>
          <w:szCs w:val="36"/>
          <w:highlight w:val="none"/>
          <w:u w:val="none"/>
          <w:lang w:val="en-US" w:eastAsia="zh-CN" w:bidi="ar-SA"/>
        </w:rPr>
        <w:t>7</w:t>
      </w:r>
      <w:r>
        <w:rPr>
          <w:rFonts w:hint="default" w:ascii="宋体" w:hAnsi="宋体" w:eastAsia="黑体" w:cs="Times New Roman"/>
          <w:color w:val="auto"/>
          <w:sz w:val="36"/>
          <w:szCs w:val="36"/>
          <w:highlight w:val="none"/>
          <w:u w:val="none"/>
          <w:lang w:val="en-US" w:eastAsia="zh-CN" w:bidi="ar-SA"/>
        </w:rPr>
        <w:t>月</w:t>
      </w:r>
    </w:p>
    <w:p w14:paraId="632168B4">
      <w:pPr>
        <w:ind w:left="0" w:leftChars="0" w:firstLine="0" w:firstLineChars="0"/>
        <w:rPr>
          <w:rFonts w:ascii="宋体" w:hAnsi="宋体"/>
          <w:color w:val="auto"/>
          <w:highlight w:val="none"/>
        </w:rPr>
      </w:pPr>
    </w:p>
    <w:p w14:paraId="79D0AE39">
      <w:pPr>
        <w:rPr>
          <w:rFonts w:ascii="宋体" w:hAnsi="宋体"/>
          <w:color w:val="auto"/>
          <w:highlight w:val="none"/>
        </w:rPr>
      </w:pPr>
    </w:p>
    <w:bookmarkEnd w:id="4"/>
    <w:bookmarkEnd w:id="5"/>
    <w:bookmarkEnd w:id="6"/>
    <w:bookmarkEnd w:id="7"/>
    <w:bookmarkEnd w:id="8"/>
    <w:bookmarkEnd w:id="9"/>
    <w:p w14:paraId="4304A2F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firstLine="0" w:firstLineChars="0"/>
        <w:jc w:val="center"/>
        <w:textAlignment w:val="auto"/>
        <w:rPr>
          <w:rFonts w:hint="eastAsia" w:ascii="宋体" w:hAnsi="宋体" w:eastAsia="方正小标宋_GBK" w:cs="方正小标宋_GBK"/>
          <w:bCs w:val="0"/>
          <w:color w:val="auto"/>
          <w:kern w:val="2"/>
          <w:szCs w:val="32"/>
          <w:highlight w:val="none"/>
          <w:u w:val="none"/>
          <w:lang w:val="en-US" w:eastAsia="zh-CN" w:bidi="ar-SA"/>
        </w:rPr>
      </w:pPr>
      <w:bookmarkStart w:id="10" w:name="_Toc7838"/>
      <w:r>
        <w:rPr>
          <w:rFonts w:hint="eastAsia" w:ascii="宋体" w:hAnsi="宋体" w:eastAsia="方正小标宋_GBK" w:cs="方正小标宋_GBK"/>
          <w:bCs w:val="0"/>
          <w:color w:val="auto"/>
          <w:kern w:val="2"/>
          <w:sz w:val="36"/>
          <w:szCs w:val="36"/>
          <w:highlight w:val="none"/>
          <w:u w:val="none"/>
          <w:lang w:val="en-US" w:eastAsia="zh-CN" w:bidi="ar-SA"/>
        </w:rPr>
        <w:t>目  录</w:t>
      </w:r>
    </w:p>
    <w:p w14:paraId="3A88766F">
      <w:pPr>
        <w:pStyle w:val="20"/>
        <w:tabs>
          <w:tab w:val="right" w:leader="dot" w:pos="8845"/>
        </w:tabs>
      </w:pPr>
      <w:r>
        <w:rPr>
          <w:rFonts w:hint="default" w:ascii="宋体" w:hAnsi="宋体" w:eastAsia="黑体" w:cs="Times New Roman"/>
          <w:b w:val="0"/>
          <w:bCs/>
          <w:color w:val="auto"/>
          <w:spacing w:val="57"/>
          <w:sz w:val="36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 w:val="0"/>
          <w:bCs/>
          <w:color w:val="auto"/>
          <w:spacing w:val="57"/>
          <w:sz w:val="36"/>
          <w:szCs w:val="36"/>
          <w:highlight w:val="none"/>
          <w:u w:val="none"/>
          <w:lang w:val="en-US" w:eastAsia="zh-CN"/>
        </w:rPr>
        <w:instrText xml:space="preserve">TOC \o "1-2" \h \u </w:instrText>
      </w:r>
      <w:r>
        <w:rPr>
          <w:rFonts w:hint="default" w:ascii="宋体" w:hAnsi="宋体" w:eastAsia="黑体" w:cs="Times New Roman"/>
          <w:b w:val="0"/>
          <w:bCs/>
          <w:color w:val="auto"/>
          <w:spacing w:val="57"/>
          <w:sz w:val="36"/>
          <w:szCs w:val="36"/>
          <w:highlight w:val="none"/>
          <w:u w:val="none"/>
          <w:lang w:val="en-US" w:eastAsia="zh-CN"/>
        </w:rPr>
        <w:fldChar w:fldCharType="separate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_Toc5519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default" w:ascii="宋体" w:hAnsi="宋体" w:eastAsia="黑体" w:cs="Times New Roman"/>
          <w:bCs/>
          <w:szCs w:val="36"/>
          <w:highlight w:val="none"/>
          <w:lang w:val="en-US" w:eastAsia="zh-CN"/>
        </w:rPr>
        <w:t>一、</w:t>
      </w:r>
      <w:r>
        <w:rPr>
          <w:rFonts w:hint="eastAsia" w:ascii="宋体" w:hAnsi="宋体" w:eastAsia="黑体" w:cs="Times New Roman"/>
          <w:bCs/>
          <w:szCs w:val="36"/>
          <w:highlight w:val="none"/>
          <w:lang w:val="en-US" w:eastAsia="zh-CN"/>
        </w:rPr>
        <w:t>评估结论和维护建议</w:t>
      </w:r>
      <w:r>
        <w:tab/>
      </w:r>
      <w:r>
        <w:fldChar w:fldCharType="begin"/>
      </w:r>
      <w:r>
        <w:instrText xml:space="preserve"> PAGEREF _Toc5519 \h </w:instrText>
      </w:r>
      <w:r>
        <w:fldChar w:fldCharType="separate"/>
      </w:r>
      <w:r>
        <w:t>1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2DD54666">
      <w:pPr>
        <w:pStyle w:val="22"/>
        <w:tabs>
          <w:tab w:val="right" w:leader="dot" w:pos="8845"/>
        </w:tabs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_Toc12226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default" w:ascii="宋体" w:hAnsi="宋体"/>
          <w:highlight w:val="none"/>
          <w:lang w:val="en-US" w:eastAsia="zh-CN"/>
        </w:rPr>
        <w:t>（一）实施</w:t>
      </w:r>
      <w:r>
        <w:rPr>
          <w:rFonts w:hint="eastAsia" w:ascii="宋体" w:hAnsi="宋体"/>
          <w:highlight w:val="none"/>
          <w:lang w:val="en-US" w:eastAsia="zh-CN"/>
        </w:rPr>
        <w:t>评估</w:t>
      </w:r>
      <w:r>
        <w:rPr>
          <w:rFonts w:hint="default" w:ascii="宋体" w:hAnsi="宋体"/>
          <w:highlight w:val="none"/>
          <w:lang w:val="en-US" w:eastAsia="zh-CN"/>
        </w:rPr>
        <w:t>成效</w:t>
      </w:r>
      <w:r>
        <w:tab/>
      </w:r>
      <w:r>
        <w:fldChar w:fldCharType="begin"/>
      </w:r>
      <w:r>
        <w:instrText xml:space="preserve"> PAGEREF _Toc12226 \h </w:instrText>
      </w:r>
      <w:r>
        <w:fldChar w:fldCharType="separate"/>
      </w:r>
      <w:r>
        <w:t>1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0C442DB3">
      <w:pPr>
        <w:pStyle w:val="22"/>
        <w:tabs>
          <w:tab w:val="right" w:leader="dot" w:pos="8845"/>
        </w:tabs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_Toc4151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default" w:ascii="宋体" w:hAnsi="宋体"/>
          <w:strike w:val="0"/>
          <w:dstrike w:val="0"/>
          <w:highlight w:val="none"/>
          <w:lang w:val="en-US" w:eastAsia="zh-CN"/>
        </w:rPr>
        <w:t>（二）</w:t>
      </w:r>
      <w:r>
        <w:rPr>
          <w:rFonts w:hint="default" w:ascii="宋体" w:hAnsi="宋体"/>
          <w:highlight w:val="none"/>
          <w:lang w:val="en-US" w:eastAsia="zh-CN"/>
        </w:rPr>
        <w:t>问题和</w:t>
      </w:r>
      <w:r>
        <w:rPr>
          <w:rFonts w:hint="eastAsia" w:ascii="宋体" w:hAnsi="宋体"/>
          <w:highlight w:val="none"/>
          <w:lang w:val="en-US" w:eastAsia="zh-CN"/>
        </w:rPr>
        <w:t>维护建议</w:t>
      </w:r>
      <w:r>
        <w:tab/>
      </w:r>
      <w:r>
        <w:fldChar w:fldCharType="begin"/>
      </w:r>
      <w:r>
        <w:instrText xml:space="preserve"> PAGEREF _Toc4151 \h </w:instrText>
      </w:r>
      <w:r>
        <w:fldChar w:fldCharType="separate"/>
      </w:r>
      <w:r>
        <w:t>6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0A8D0251">
      <w:pPr>
        <w:pStyle w:val="20"/>
        <w:tabs>
          <w:tab w:val="right" w:leader="dot" w:pos="8845"/>
        </w:tabs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_Toc1244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default" w:ascii="宋体" w:hAnsi="宋体" w:eastAsia="黑体" w:cs="Times New Roman"/>
          <w:bCs/>
          <w:szCs w:val="36"/>
          <w:highlight w:val="none"/>
        </w:rPr>
        <w:t>二、动态维护内容</w:t>
      </w:r>
      <w:r>
        <w:tab/>
      </w:r>
      <w:r>
        <w:fldChar w:fldCharType="begin"/>
      </w:r>
      <w:r>
        <w:instrText xml:space="preserve"> PAGEREF _Toc1244 \h </w:instrText>
      </w:r>
      <w:r>
        <w:fldChar w:fldCharType="separate"/>
      </w:r>
      <w:r>
        <w:t>7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14C32255">
      <w:pPr>
        <w:pStyle w:val="22"/>
        <w:tabs>
          <w:tab w:val="right" w:leader="dot" w:pos="8845"/>
        </w:tabs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_Toc15188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default" w:ascii="宋体" w:hAnsi="宋体"/>
          <w:highlight w:val="none"/>
          <w:lang w:val="en-US" w:eastAsia="zh-CN"/>
        </w:rPr>
        <w:t>（</w:t>
      </w:r>
      <w:r>
        <w:rPr>
          <w:rFonts w:hint="eastAsia" w:ascii="宋体" w:hAnsi="宋体"/>
          <w:highlight w:val="none"/>
          <w:lang w:val="en-US" w:eastAsia="zh-CN"/>
        </w:rPr>
        <w:t>一</w:t>
      </w:r>
      <w:r>
        <w:rPr>
          <w:rFonts w:hint="default" w:ascii="宋体" w:hAnsi="宋体"/>
          <w:highlight w:val="none"/>
          <w:lang w:val="en-US" w:eastAsia="zh-CN"/>
        </w:rPr>
        <w:t>）对接</w:t>
      </w:r>
      <w:r>
        <w:rPr>
          <w:rFonts w:hint="eastAsia" w:ascii="宋体" w:hAnsi="宋体"/>
          <w:highlight w:val="none"/>
          <w:lang w:val="en-US" w:eastAsia="zh-CN"/>
        </w:rPr>
        <w:t>“十五五”</w:t>
      </w:r>
      <w:r>
        <w:rPr>
          <w:rFonts w:hint="default" w:ascii="宋体" w:hAnsi="宋体"/>
          <w:highlight w:val="none"/>
          <w:lang w:val="en-US" w:eastAsia="zh-CN"/>
        </w:rPr>
        <w:t>需求分类保障重大项目落地</w:t>
      </w:r>
      <w:r>
        <w:tab/>
      </w:r>
      <w:r>
        <w:fldChar w:fldCharType="begin"/>
      </w:r>
      <w:r>
        <w:instrText xml:space="preserve"> PAGEREF _Toc15188 \h </w:instrText>
      </w:r>
      <w:r>
        <w:fldChar w:fldCharType="separate"/>
      </w:r>
      <w:r>
        <w:t>7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6EB3D406">
      <w:pPr>
        <w:pStyle w:val="22"/>
        <w:tabs>
          <w:tab w:val="right" w:leader="dot" w:pos="8845"/>
        </w:tabs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_Toc5990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eastAsia" w:ascii="宋体" w:hAnsi="宋体" w:cs="Times New Roman"/>
          <w:highlight w:val="none"/>
          <w:lang w:val="en-US" w:eastAsia="zh-CN"/>
        </w:rPr>
        <w:t>（二）</w:t>
      </w:r>
      <w:r>
        <w:rPr>
          <w:rFonts w:hint="default" w:ascii="宋体" w:hAnsi="宋体" w:cs="Times New Roman"/>
          <w:highlight w:val="none"/>
          <w:lang w:val="en-US" w:eastAsia="zh-CN"/>
        </w:rPr>
        <w:t>正向优化三条控制线</w:t>
      </w:r>
      <w:r>
        <w:tab/>
      </w:r>
      <w:r>
        <w:fldChar w:fldCharType="begin"/>
      </w:r>
      <w:r>
        <w:instrText xml:space="preserve"> PAGEREF _Toc5990 \h </w:instrText>
      </w:r>
      <w:r>
        <w:fldChar w:fldCharType="separate"/>
      </w:r>
      <w:r>
        <w:t>8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3A31818E">
      <w:pPr>
        <w:pStyle w:val="22"/>
        <w:tabs>
          <w:tab w:val="right" w:leader="dot" w:pos="8845"/>
        </w:tabs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_Toc3761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eastAsia" w:ascii="宋体" w:hAnsi="宋体"/>
          <w:highlight w:val="none"/>
          <w:lang w:val="en-US" w:eastAsia="zh-CN"/>
        </w:rPr>
        <w:t>（三）多维度优化国土空间布局</w:t>
      </w:r>
      <w:r>
        <w:tab/>
      </w:r>
      <w:r>
        <w:fldChar w:fldCharType="begin"/>
      </w:r>
      <w:r>
        <w:instrText xml:space="preserve"> PAGEREF _Toc3761 \h </w:instrText>
      </w:r>
      <w:r>
        <w:fldChar w:fldCharType="separate"/>
      </w:r>
      <w:r>
        <w:t>8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5890ADFA">
      <w:pPr>
        <w:pStyle w:val="20"/>
        <w:tabs>
          <w:tab w:val="right" w:leader="dot" w:pos="8845"/>
        </w:tabs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_Toc10359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eastAsia" w:ascii="宋体" w:hAnsi="宋体"/>
          <w:lang w:val="en-US" w:eastAsia="zh-CN"/>
        </w:rPr>
        <w:t>三、</w:t>
      </w:r>
      <w:r>
        <w:rPr>
          <w:rFonts w:hint="default" w:ascii="宋体" w:hAnsi="宋体"/>
          <w:lang w:val="en-US" w:eastAsia="zh-CN"/>
        </w:rPr>
        <w:t>动态维护</w:t>
      </w:r>
      <w:r>
        <w:rPr>
          <w:rFonts w:hint="eastAsia" w:ascii="宋体" w:hAnsi="宋体"/>
          <w:lang w:val="en-US" w:eastAsia="zh-CN"/>
        </w:rPr>
        <w:t>合理性</w:t>
      </w:r>
      <w:r>
        <w:rPr>
          <w:rFonts w:hint="default" w:ascii="宋体" w:hAnsi="宋体"/>
          <w:lang w:val="en-US" w:eastAsia="zh-CN"/>
        </w:rPr>
        <w:t>分析</w:t>
      </w:r>
      <w:r>
        <w:tab/>
      </w:r>
      <w:r>
        <w:fldChar w:fldCharType="begin"/>
      </w:r>
      <w:r>
        <w:instrText xml:space="preserve"> PAGEREF _Toc10359 \h </w:instrText>
      </w:r>
      <w:r>
        <w:fldChar w:fldCharType="separate"/>
      </w:r>
      <w:r>
        <w:t>8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7B908F1C">
      <w:pPr>
        <w:pStyle w:val="20"/>
        <w:tabs>
          <w:tab w:val="right" w:leader="dot" w:pos="8845"/>
        </w:tabs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_Toc13726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default" w:ascii="宋体" w:hAnsi="宋体" w:eastAsia="黑体" w:cs="Times New Roman"/>
          <w:bCs/>
          <w:szCs w:val="36"/>
          <w:highlight w:val="none"/>
          <w:lang w:val="en-US" w:eastAsia="zh-CN"/>
        </w:rPr>
        <w:t>四、实施保障</w:t>
      </w:r>
      <w:r>
        <w:tab/>
      </w:r>
      <w:r>
        <w:fldChar w:fldCharType="begin"/>
      </w:r>
      <w:r>
        <w:instrText xml:space="preserve"> PAGEREF _Toc13726 \h </w:instrText>
      </w:r>
      <w:r>
        <w:fldChar w:fldCharType="separate"/>
      </w:r>
      <w:r>
        <w:t>9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63F0291E">
      <w:pPr>
        <w:pStyle w:val="22"/>
        <w:tabs>
          <w:tab w:val="right" w:leader="dot" w:pos="8845"/>
        </w:tabs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_Toc12910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default" w:ascii="宋体" w:hAnsi="宋体"/>
          <w:highlight w:val="none"/>
          <w:lang w:val="en-US" w:eastAsia="zh-CN"/>
        </w:rPr>
        <w:t>（</w:t>
      </w:r>
      <w:r>
        <w:rPr>
          <w:rFonts w:hint="eastAsia" w:ascii="宋体" w:hAnsi="宋体"/>
          <w:highlight w:val="none"/>
          <w:lang w:val="en-US" w:eastAsia="zh-CN"/>
        </w:rPr>
        <w:t>一</w:t>
      </w:r>
      <w:r>
        <w:rPr>
          <w:rFonts w:hint="default" w:ascii="宋体" w:hAnsi="宋体"/>
          <w:highlight w:val="none"/>
          <w:lang w:val="en-US" w:eastAsia="zh-CN"/>
        </w:rPr>
        <w:t>）</w:t>
      </w:r>
      <w:r>
        <w:rPr>
          <w:rFonts w:hint="eastAsia" w:ascii="宋体" w:hAnsi="宋体"/>
          <w:highlight w:val="none"/>
          <w:lang w:val="en-US" w:eastAsia="zh-CN"/>
        </w:rPr>
        <w:t>进一步健全</w:t>
      </w:r>
      <w:r>
        <w:rPr>
          <w:rFonts w:hint="default" w:ascii="宋体" w:hAnsi="宋体"/>
          <w:highlight w:val="none"/>
          <w:lang w:val="en-US" w:eastAsia="zh-CN"/>
        </w:rPr>
        <w:t>规划动态调整</w:t>
      </w:r>
      <w:r>
        <w:rPr>
          <w:rFonts w:hint="eastAsia" w:ascii="宋体" w:hAnsi="宋体"/>
          <w:highlight w:val="none"/>
          <w:lang w:val="en-US" w:eastAsia="zh-CN"/>
        </w:rPr>
        <w:t>完善</w:t>
      </w:r>
      <w:r>
        <w:rPr>
          <w:rFonts w:hint="default" w:ascii="宋体" w:hAnsi="宋体"/>
          <w:highlight w:val="none"/>
          <w:lang w:val="en-US" w:eastAsia="zh-CN"/>
        </w:rPr>
        <w:t>机制</w:t>
      </w:r>
      <w:r>
        <w:tab/>
      </w:r>
      <w:r>
        <w:fldChar w:fldCharType="begin"/>
      </w:r>
      <w:r>
        <w:instrText xml:space="preserve"> PAGEREF _Toc12910 \h </w:instrText>
      </w:r>
      <w:r>
        <w:fldChar w:fldCharType="separate"/>
      </w:r>
      <w:r>
        <w:t>9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76F86A41">
      <w:pPr>
        <w:pStyle w:val="22"/>
        <w:tabs>
          <w:tab w:val="right" w:leader="dot" w:pos="8845"/>
        </w:tabs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_Toc29730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default" w:ascii="宋体" w:hAnsi="宋体" w:cs="Times New Roman"/>
          <w:highlight w:val="none"/>
          <w:lang w:val="en-US" w:eastAsia="zh-CN"/>
        </w:rPr>
        <w:t>（</w:t>
      </w:r>
      <w:r>
        <w:rPr>
          <w:rFonts w:hint="eastAsia" w:ascii="宋体" w:hAnsi="宋体" w:cs="Times New Roman"/>
          <w:highlight w:val="none"/>
          <w:lang w:val="en-US" w:eastAsia="zh-CN"/>
        </w:rPr>
        <w:t>二</w:t>
      </w:r>
      <w:r>
        <w:rPr>
          <w:rFonts w:hint="default" w:ascii="宋体" w:hAnsi="宋体" w:cs="Times New Roman"/>
          <w:highlight w:val="none"/>
          <w:lang w:val="en-US" w:eastAsia="zh-CN"/>
        </w:rPr>
        <w:t>）</w:t>
      </w:r>
      <w:r>
        <w:rPr>
          <w:rFonts w:hint="eastAsia" w:ascii="宋体" w:hAnsi="宋体" w:cs="Times New Roman"/>
          <w:highlight w:val="none"/>
          <w:lang w:val="en-US" w:eastAsia="zh-CN"/>
        </w:rPr>
        <w:t>加强动态维护方案传导落实</w:t>
      </w:r>
      <w:r>
        <w:tab/>
      </w:r>
      <w:r>
        <w:fldChar w:fldCharType="begin"/>
      </w:r>
      <w:r>
        <w:instrText xml:space="preserve"> PAGEREF _Toc29730 \h </w:instrText>
      </w:r>
      <w:r>
        <w:fldChar w:fldCharType="separate"/>
      </w:r>
      <w:r>
        <w:t>9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56194943">
      <w:pPr>
        <w:pStyle w:val="22"/>
        <w:tabs>
          <w:tab w:val="right" w:leader="dot" w:pos="8845"/>
        </w:tabs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begin"/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instrText xml:space="preserve"> HYPERLINK \l _Toc22479 </w:instrText>
      </w:r>
      <w:r>
        <w:rPr>
          <w:rFonts w:hint="default" w:ascii="宋体" w:hAnsi="宋体" w:eastAsia="黑体" w:cs="Times New Roman"/>
          <w:bCs/>
          <w:spacing w:val="57"/>
          <w:szCs w:val="36"/>
          <w:highlight w:val="none"/>
          <w:lang w:val="en-US" w:eastAsia="zh-CN"/>
        </w:rPr>
        <w:fldChar w:fldCharType="separate"/>
      </w:r>
      <w:r>
        <w:rPr>
          <w:rFonts w:hint="default" w:ascii="宋体" w:hAnsi="宋体" w:cs="Times New Roman"/>
          <w:highlight w:val="none"/>
          <w:lang w:val="en-US" w:eastAsia="zh-CN"/>
        </w:rPr>
        <w:t>（三）</w:t>
      </w:r>
      <w:r>
        <w:rPr>
          <w:rFonts w:hint="eastAsia" w:ascii="宋体" w:hAnsi="宋体" w:cs="Times New Roman"/>
          <w:highlight w:val="none"/>
          <w:lang w:val="en-US" w:eastAsia="zh-CN"/>
        </w:rPr>
        <w:t>强化“</w:t>
      </w:r>
      <w:r>
        <w:rPr>
          <w:rFonts w:hint="default" w:ascii="宋体" w:hAnsi="宋体" w:cs="Times New Roman"/>
          <w:highlight w:val="none"/>
          <w:lang w:val="en-US" w:eastAsia="zh-CN"/>
        </w:rPr>
        <w:t>一张图</w:t>
      </w:r>
      <w:r>
        <w:rPr>
          <w:rFonts w:hint="eastAsia" w:ascii="宋体" w:hAnsi="宋体" w:cs="Times New Roman"/>
          <w:highlight w:val="none"/>
          <w:lang w:val="en-US" w:eastAsia="zh-CN"/>
        </w:rPr>
        <w:t>”</w:t>
      </w:r>
      <w:r>
        <w:rPr>
          <w:rFonts w:hint="default" w:ascii="宋体" w:hAnsi="宋体" w:cs="Times New Roman"/>
          <w:highlight w:val="none"/>
          <w:lang w:val="en-US" w:eastAsia="zh-CN"/>
        </w:rPr>
        <w:t>全生命周期实施管理</w:t>
      </w:r>
      <w:r>
        <w:tab/>
      </w:r>
      <w:r>
        <w:fldChar w:fldCharType="begin"/>
      </w:r>
      <w:r>
        <w:instrText xml:space="preserve"> PAGEREF _Toc22479 \h </w:instrText>
      </w:r>
      <w:r>
        <w:fldChar w:fldCharType="separate"/>
      </w:r>
      <w:r>
        <w:t>9</w:t>
      </w:r>
      <w:r>
        <w:fldChar w:fldCharType="end"/>
      </w: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</w:p>
    <w:p w14:paraId="30B7304C">
      <w:pPr>
        <w:ind w:left="0" w:leftChars="0" w:firstLine="0" w:firstLineChars="0"/>
        <w:rPr>
          <w:rFonts w:hint="default" w:ascii="宋体" w:hAnsi="宋体" w:eastAsia="黑体" w:cs="Times New Roman"/>
          <w:b w:val="0"/>
          <w:bCs/>
          <w:color w:val="auto"/>
          <w:spacing w:val="57"/>
          <w:sz w:val="36"/>
          <w:szCs w:val="36"/>
          <w:highlight w:val="none"/>
          <w:u w:val="none"/>
          <w:lang w:val="en-US" w:eastAsia="zh-CN"/>
        </w:rPr>
        <w:sectPr>
          <w:headerReference r:id="rId5" w:type="default"/>
          <w:pgSz w:w="11906" w:h="16838"/>
          <w:pgMar w:top="1587" w:right="1474" w:bottom="1304" w:left="1587" w:header="851" w:footer="992" w:gutter="0"/>
          <w:pgNumType w:fmt="decimal" w:start="1"/>
          <w:cols w:space="425" w:num="1"/>
          <w:docGrid w:type="lines" w:linePitch="312" w:charSpace="0"/>
        </w:sectPr>
      </w:pPr>
      <w:r>
        <w:rPr>
          <w:rFonts w:hint="default" w:ascii="宋体" w:hAnsi="宋体" w:eastAsia="黑体" w:cs="Times New Roman"/>
          <w:bCs/>
          <w:color w:val="auto"/>
          <w:spacing w:val="57"/>
          <w:szCs w:val="36"/>
          <w:highlight w:val="none"/>
          <w:u w:val="none"/>
          <w:lang w:val="en-US" w:eastAsia="zh-CN"/>
        </w:rPr>
        <w:fldChar w:fldCharType="end"/>
      </w:r>
      <w:bookmarkStart w:id="171" w:name="_GoBack"/>
      <w:bookmarkEnd w:id="171"/>
    </w:p>
    <w:bookmarkEnd w:id="10"/>
    <w:p w14:paraId="5597EAB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ind w:firstLine="0" w:firstLineChars="0"/>
        <w:jc w:val="center"/>
        <w:textAlignment w:val="auto"/>
        <w:rPr>
          <w:rFonts w:hint="eastAsia" w:ascii="宋体" w:hAnsi="宋体" w:eastAsia="方正小标宋_GBK" w:cs="方正小标宋_GBK"/>
          <w:bCs w:val="0"/>
          <w:color w:val="auto"/>
          <w:kern w:val="2"/>
          <w:sz w:val="36"/>
          <w:szCs w:val="36"/>
          <w:highlight w:val="none"/>
          <w:u w:val="none"/>
          <w:lang w:val="en-US" w:eastAsia="zh-CN" w:bidi="ar-SA"/>
        </w:rPr>
      </w:pPr>
      <w:bookmarkStart w:id="11" w:name="_Toc17847"/>
      <w:bookmarkStart w:id="12" w:name="_Toc15909"/>
      <w:bookmarkStart w:id="13" w:name="_Toc815"/>
      <w:bookmarkStart w:id="14" w:name="_Toc2680"/>
      <w:bookmarkStart w:id="15" w:name="_Toc9666"/>
      <w:bookmarkStart w:id="16" w:name="_Toc15617"/>
      <w:bookmarkStart w:id="17" w:name="_Toc11399"/>
      <w:bookmarkStart w:id="18" w:name="_Toc18778"/>
      <w:bookmarkStart w:id="19" w:name="_Toc9411"/>
      <w:bookmarkStart w:id="20" w:name="_Toc11817"/>
      <w:bookmarkStart w:id="21" w:name="_Toc12726"/>
      <w:bookmarkStart w:id="22" w:name="_Toc4087"/>
      <w:bookmarkStart w:id="23" w:name="_Toc18301"/>
      <w:bookmarkStart w:id="24" w:name="_Toc30456"/>
      <w:bookmarkStart w:id="25" w:name="_Toc32728"/>
      <w:bookmarkStart w:id="26" w:name="_Toc6016"/>
      <w:bookmarkStart w:id="27" w:name="_Toc27043"/>
      <w:bookmarkStart w:id="28" w:name="_Toc32353"/>
      <w:r>
        <w:rPr>
          <w:rFonts w:hint="eastAsia" w:ascii="宋体" w:hAnsi="宋体" w:eastAsia="方正小标宋_GBK" w:cs="方正小标宋_GBK"/>
          <w:bCs w:val="0"/>
          <w:color w:val="auto"/>
          <w:kern w:val="2"/>
          <w:sz w:val="36"/>
          <w:szCs w:val="36"/>
          <w:highlight w:val="none"/>
          <w:u w:val="none"/>
          <w:lang w:val="en-US" w:eastAsia="zh-CN" w:bidi="ar-SA"/>
        </w:rPr>
        <w:t>前  言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7B289045">
      <w:pPr>
        <w:bidi w:val="0"/>
        <w:rPr>
          <w:rFonts w:hint="default" w:ascii="宋体" w:hAnsi="宋体"/>
          <w:color w:val="auto"/>
          <w:lang w:val="en-US" w:eastAsia="zh-CN"/>
        </w:rPr>
      </w:pPr>
      <w:r>
        <w:rPr>
          <w:rFonts w:hint="eastAsia" w:ascii="宋体" w:hAnsi="宋体"/>
          <w:color w:val="auto"/>
          <w:lang w:val="en-US" w:eastAsia="zh-CN"/>
        </w:rPr>
        <w:t>为深入贯彻党的二十届四中全会精神和中央城市工作会议精神，紧扣“一个跨越”“三个定位”“开创发展新局面”总纲，锚定省委、省政府“3815”战略发展目标，全面落实《全国国土空间规划纲要（2021—2035年）》，根据自然资源部统一安排部署，开展《云南省国土空间规划（2021—2035年）》（以下简称《规划》）动态维护工作。主动对接《云南省国民经济和社会发展第十五个五年规划纲要》及相关专项规划，系统梳理“十五五”重大战略任务、重大工程项目空间需求。本次动态维护工作是对原《规划》的法定延续。</w:t>
      </w:r>
    </w:p>
    <w:p w14:paraId="014B4475">
      <w:pPr>
        <w:bidi w:val="0"/>
        <w:rPr>
          <w:rFonts w:hint="eastAsia" w:ascii="宋体" w:hAnsi="宋体"/>
          <w:color w:val="auto"/>
          <w:lang w:val="en-US" w:eastAsia="zh-CN"/>
        </w:rPr>
      </w:pPr>
      <w:r>
        <w:rPr>
          <w:rFonts w:hint="eastAsia" w:ascii="宋体" w:hAnsi="宋体"/>
          <w:color w:val="auto"/>
          <w:lang w:val="en-US" w:eastAsia="zh-CN"/>
        </w:rPr>
        <w:t>《规划》动态维护方案在不改变总体格局、不突破“三区三线”约束性指标和底线管控要求的前提下，结合“十五五”新需求及规划实施情况，完善重点建设项目清单，明确全省三条控制线、规划分区与用地布局、其他重要控制线等正向优化的规则和要求，对《规划》进行了细化和完善。</w:t>
      </w:r>
    </w:p>
    <w:p w14:paraId="1706D15E">
      <w:pPr>
        <w:pStyle w:val="3"/>
        <w:bidi w:val="0"/>
        <w:rPr>
          <w:rFonts w:hint="default" w:ascii="宋体" w:hAnsi="宋体"/>
          <w:color w:val="auto"/>
          <w:lang w:val="en-US" w:eastAsia="zh-CN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 w:start="1"/>
          <w:cols w:space="425" w:num="1"/>
          <w:docGrid w:type="lines" w:linePitch="312" w:charSpace="0"/>
        </w:sectPr>
      </w:pPr>
      <w:bookmarkStart w:id="29" w:name="_Toc11528"/>
      <w:bookmarkStart w:id="30" w:name="_Toc2706"/>
      <w:bookmarkStart w:id="31" w:name="_Toc6639"/>
      <w:bookmarkStart w:id="32" w:name="_Toc25649"/>
      <w:bookmarkStart w:id="33" w:name="_Toc9263"/>
      <w:bookmarkStart w:id="34" w:name="_Toc13108"/>
      <w:bookmarkStart w:id="35" w:name="_Toc11540"/>
      <w:bookmarkStart w:id="36" w:name="_Toc12278"/>
      <w:bookmarkStart w:id="37" w:name="_Toc2554"/>
      <w:bookmarkStart w:id="38" w:name="_Toc1265"/>
      <w:bookmarkStart w:id="39" w:name="_Toc784"/>
      <w:bookmarkStart w:id="40" w:name="_Toc21349"/>
      <w:bookmarkStart w:id="41" w:name="_Toc18606"/>
      <w:bookmarkStart w:id="42" w:name="_Toc27071"/>
      <w:bookmarkStart w:id="43" w:name="_Toc16151"/>
      <w:bookmarkStart w:id="44" w:name="_Toc10474"/>
      <w:bookmarkStart w:id="45" w:name="_Toc18808"/>
      <w:bookmarkStart w:id="46" w:name="_Toc6076"/>
      <w:bookmarkStart w:id="47" w:name="_Toc10288"/>
      <w:bookmarkStart w:id="48" w:name="_Toc22648"/>
    </w:p>
    <w:p w14:paraId="0D9038E0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/>
        <w:jc w:val="left"/>
        <w:textAlignment w:val="auto"/>
        <w:rPr>
          <w:rFonts w:hint="default" w:ascii="宋体" w:hAnsi="宋体" w:eastAsia="黑体" w:cs="Times New Roman"/>
          <w:b w:val="0"/>
          <w:bCs/>
          <w:color w:val="auto"/>
          <w:szCs w:val="36"/>
          <w:highlight w:val="none"/>
          <w:u w:val="none"/>
          <w:lang w:val="en-US" w:eastAsia="zh-CN"/>
        </w:rPr>
      </w:pPr>
      <w:bookmarkStart w:id="49" w:name="_Toc30481"/>
      <w:bookmarkStart w:id="50" w:name="_Toc24207"/>
      <w:bookmarkStart w:id="51" w:name="_Toc21141"/>
      <w:bookmarkStart w:id="52" w:name="_Toc4222"/>
      <w:bookmarkStart w:id="53" w:name="_Toc5519"/>
      <w:r>
        <w:rPr>
          <w:rFonts w:hint="default" w:ascii="宋体" w:hAnsi="宋体" w:eastAsia="黑体" w:cs="Times New Roman"/>
          <w:b w:val="0"/>
          <w:bCs/>
          <w:color w:val="auto"/>
          <w:szCs w:val="36"/>
          <w:highlight w:val="none"/>
          <w:u w:val="none"/>
          <w:lang w:val="en-US" w:eastAsia="zh-CN"/>
        </w:rPr>
        <w:t>一、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9"/>
      <w:r>
        <w:rPr>
          <w:rFonts w:hint="eastAsia" w:ascii="宋体" w:hAnsi="宋体" w:eastAsia="黑体" w:cs="Times New Roman"/>
          <w:b w:val="0"/>
          <w:bCs/>
          <w:color w:val="auto"/>
          <w:szCs w:val="36"/>
          <w:highlight w:val="none"/>
          <w:u w:val="none"/>
          <w:lang w:val="en-US" w:eastAsia="zh-CN"/>
        </w:rPr>
        <w:t>评估结论和维护建议</w:t>
      </w:r>
      <w:bookmarkEnd w:id="50"/>
      <w:bookmarkEnd w:id="51"/>
      <w:bookmarkEnd w:id="52"/>
      <w:bookmarkEnd w:id="53"/>
    </w:p>
    <w:p w14:paraId="3762333A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highlight w:val="none"/>
          <w:lang w:val="en-US" w:eastAsia="zh-CN"/>
        </w:rPr>
      </w:pPr>
      <w:bookmarkStart w:id="54" w:name="_Toc13036"/>
      <w:bookmarkStart w:id="55" w:name="_Toc22079"/>
      <w:bookmarkStart w:id="56" w:name="_Toc4670"/>
      <w:bookmarkStart w:id="57" w:name="_Toc23336"/>
      <w:bookmarkStart w:id="58" w:name="_Toc30589"/>
      <w:bookmarkStart w:id="59" w:name="_Toc3049"/>
      <w:bookmarkStart w:id="60" w:name="_Toc4844"/>
      <w:bookmarkStart w:id="61" w:name="_Toc6713"/>
      <w:bookmarkStart w:id="62" w:name="_Toc18921"/>
      <w:bookmarkStart w:id="63" w:name="_Toc26751"/>
      <w:bookmarkStart w:id="64" w:name="_Toc32305"/>
      <w:bookmarkStart w:id="65" w:name="_Toc7124"/>
      <w:bookmarkStart w:id="66" w:name="_Toc6566"/>
      <w:bookmarkStart w:id="67" w:name="_Toc24987"/>
      <w:bookmarkStart w:id="68" w:name="_Toc22997"/>
      <w:bookmarkStart w:id="69" w:name="_Toc2346"/>
      <w:bookmarkStart w:id="70" w:name="_Toc12226"/>
      <w:r>
        <w:rPr>
          <w:rFonts w:hint="default" w:ascii="宋体" w:hAnsi="宋体"/>
          <w:color w:val="auto"/>
          <w:highlight w:val="none"/>
          <w:lang w:val="en-US" w:eastAsia="zh-CN"/>
        </w:rPr>
        <w:t>（一）实施</w:t>
      </w:r>
      <w:r>
        <w:rPr>
          <w:rFonts w:hint="eastAsia" w:ascii="宋体" w:hAnsi="宋体"/>
          <w:color w:val="auto"/>
          <w:highlight w:val="none"/>
          <w:lang w:val="en-US" w:eastAsia="zh-CN"/>
        </w:rPr>
        <w:t>评估</w:t>
      </w:r>
      <w:r>
        <w:rPr>
          <w:rFonts w:hint="default" w:ascii="宋体" w:hAnsi="宋体"/>
          <w:color w:val="auto"/>
          <w:highlight w:val="none"/>
          <w:lang w:val="en-US" w:eastAsia="zh-CN"/>
        </w:rPr>
        <w:t>成效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p w14:paraId="1F54D760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lang w:val="en-US" w:eastAsia="zh-CN"/>
        </w:rPr>
      </w:pPr>
      <w:bookmarkStart w:id="71" w:name="_Toc10213"/>
      <w:bookmarkStart w:id="72" w:name="_Toc15243"/>
      <w:bookmarkStart w:id="73" w:name="_Toc20221"/>
      <w:r>
        <w:rPr>
          <w:rFonts w:hint="eastAsia" w:ascii="宋体" w:hAnsi="宋体"/>
          <w:color w:val="auto"/>
          <w:lang w:val="en-US" w:eastAsia="zh-CN"/>
        </w:rPr>
        <w:t>规划实施以来，在保障服务“三个定位”、重大战略实施、国土空间安全底线、城乡高质量发展、基础设施、国土空间规划体系建设等6个方面取得了阶段性成效。</w:t>
      </w:r>
    </w:p>
    <w:bookmarkEnd w:id="71"/>
    <w:bookmarkEnd w:id="72"/>
    <w:bookmarkEnd w:id="73"/>
    <w:p w14:paraId="5741A3DD">
      <w:pPr>
        <w:pStyle w:val="4"/>
        <w:bidi w:val="0"/>
        <w:ind w:firstLineChars="200"/>
        <w:rPr>
          <w:rFonts w:hint="eastAsia" w:ascii="宋体" w:hAnsi="宋体"/>
          <w:b/>
          <w:bCs/>
          <w:color w:val="auto"/>
          <w:lang w:val="en-US" w:eastAsia="zh-CN"/>
        </w:rPr>
      </w:pP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1.保障“三个定位”的空间支撑能力持续增强</w:t>
      </w:r>
    </w:p>
    <w:p w14:paraId="3085A26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宋体" w:hAnsi="宋体"/>
          <w:b/>
          <w:bCs/>
          <w:color w:val="auto"/>
          <w:lang w:val="en-US" w:eastAsia="zh-CN"/>
        </w:rPr>
      </w:pPr>
      <w:r>
        <w:rPr>
          <w:rFonts w:hint="default" w:ascii="宋体" w:hAnsi="宋体"/>
          <w:b/>
          <w:bCs/>
          <w:color w:val="auto"/>
          <w:lang w:val="en-US" w:eastAsia="zh-CN"/>
        </w:rPr>
        <w:t>民族团结进步示范区建设提质增效</w:t>
      </w:r>
      <w:r>
        <w:rPr>
          <w:rFonts w:hint="eastAsia" w:ascii="宋体" w:hAnsi="宋体"/>
          <w:b/>
          <w:bCs/>
          <w:color w:val="auto"/>
          <w:lang w:val="en-US" w:eastAsia="zh-CN"/>
        </w:rPr>
        <w:t>。</w:t>
      </w:r>
      <w:r>
        <w:rPr>
          <w:rFonts w:hint="default" w:ascii="宋体" w:hAnsi="宋体"/>
          <w:color w:val="auto"/>
          <w:lang w:val="en-US" w:eastAsia="zh-CN"/>
        </w:rPr>
        <w:t>持续补齐民族地区</w:t>
      </w:r>
      <w:r>
        <w:rPr>
          <w:rFonts w:hint="eastAsia" w:ascii="宋体" w:hAnsi="宋体"/>
          <w:color w:val="auto"/>
          <w:lang w:val="en-US" w:eastAsia="zh-CN"/>
        </w:rPr>
        <w:t>基础设施和</w:t>
      </w:r>
      <w:r>
        <w:rPr>
          <w:rFonts w:hint="default" w:ascii="宋体" w:hAnsi="宋体"/>
          <w:color w:val="auto"/>
          <w:lang w:val="en-US" w:eastAsia="zh-CN"/>
        </w:rPr>
        <w:t>公共服务配套短板</w:t>
      </w:r>
      <w:r>
        <w:rPr>
          <w:rFonts w:hint="eastAsia" w:ascii="宋体" w:hAnsi="宋体"/>
          <w:color w:val="auto"/>
          <w:lang w:val="en-US" w:eastAsia="zh-CN"/>
        </w:rPr>
        <w:t>，</w:t>
      </w:r>
      <w:r>
        <w:rPr>
          <w:rFonts w:hint="default" w:ascii="宋体" w:hAnsi="宋体"/>
          <w:color w:val="auto"/>
          <w:lang w:val="en-US" w:eastAsia="zh-CN"/>
        </w:rPr>
        <w:t>建成304所铸牢中华民族共同体意识教育示范学校，6个自治州通高铁或动车，</w:t>
      </w:r>
      <w:r>
        <w:rPr>
          <w:rFonts w:hint="eastAsia" w:ascii="宋体" w:hAnsi="宋体"/>
          <w:color w:val="auto"/>
          <w:lang w:val="en-US" w:eastAsia="zh-CN"/>
        </w:rPr>
        <w:t>所有</w:t>
      </w:r>
      <w:r>
        <w:rPr>
          <w:rFonts w:hint="default" w:ascii="宋体" w:hAnsi="宋体"/>
          <w:color w:val="auto"/>
          <w:lang w:val="en-US" w:eastAsia="zh-CN"/>
        </w:rPr>
        <w:t>民族自治地方（县、市）通高等级公路。</w:t>
      </w:r>
      <w:r>
        <w:rPr>
          <w:rFonts w:hint="eastAsia" w:ascii="宋体" w:hAnsi="宋体"/>
          <w:color w:val="auto"/>
          <w:highlight w:val="none"/>
          <w:lang w:val="en-US" w:eastAsia="zh-CN"/>
        </w:rPr>
        <w:t>有效保障边境村寨基础设施、村民建房、公共服务的合理用地需求</w:t>
      </w:r>
      <w:r>
        <w:rPr>
          <w:rFonts w:hint="default" w:ascii="宋体" w:hAnsi="宋体"/>
          <w:color w:val="auto"/>
          <w:highlight w:val="none"/>
          <w:lang w:val="en-US" w:eastAsia="zh-CN"/>
        </w:rPr>
        <w:t>，</w:t>
      </w:r>
      <w:r>
        <w:rPr>
          <w:rFonts w:hint="default" w:ascii="宋体" w:hAnsi="宋体"/>
          <w:color w:val="auto"/>
          <w:lang w:val="en-US" w:eastAsia="zh-CN"/>
        </w:rPr>
        <w:t>374个边境幸福村村庄建设有力推进</w:t>
      </w:r>
      <w:r>
        <w:rPr>
          <w:rFonts w:hint="eastAsia" w:ascii="宋体" w:hAnsi="宋体"/>
          <w:color w:val="auto"/>
          <w:lang w:val="en-US" w:eastAsia="zh-CN"/>
        </w:rPr>
        <w:t>。</w:t>
      </w:r>
    </w:p>
    <w:p w14:paraId="7561845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宋体" w:hAnsi="宋体" w:eastAsia="方正仿宋_GBK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方正仿宋_GBK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  <w:t>生态文明建设排头兵空间基础持续夯实</w:t>
      </w:r>
      <w:r>
        <w:rPr>
          <w:rFonts w:hint="eastAsia" w:ascii="宋体" w:hAnsi="宋体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  <w:t>。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香格里拉、亚洲象、高黎贡山等国家公园创建工作取得积极进展，全省已记录生物物种数量居全国首位。85%以上重点野生</w:t>
      </w:r>
      <w:r>
        <w:rPr>
          <w:rFonts w:hint="eastAsia" w:ascii="宋体" w:hAnsi="宋体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动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植物物种</w:t>
      </w:r>
      <w:r>
        <w:rPr>
          <w:rFonts w:hint="eastAsia" w:ascii="宋体" w:hAnsi="宋体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得到有效保护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，38种极度濒危野生动植物得到系统性保护，亚洲象、滇金丝猴、绿孔雀等种群数量大幅上升。山水林田湖草沙一体化保护治理深入推进，森林覆盖率</w:t>
      </w:r>
      <w:r>
        <w:rPr>
          <w:rFonts w:hint="eastAsia" w:ascii="宋体" w:hAnsi="宋体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稳步提升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，森林植被碳储量居全国首位。</w:t>
      </w:r>
      <w:r>
        <w:rPr>
          <w:rFonts w:hint="eastAsia" w:ascii="宋体" w:hAnsi="宋体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推进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九大高原湖泊</w:t>
      </w:r>
      <w:r>
        <w:rPr>
          <w:rFonts w:hint="eastAsia" w:ascii="宋体" w:hAnsi="宋体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“两线”“三区”与国土空间“三区三线”协同管控</w:t>
      </w:r>
      <w:r>
        <w:rPr>
          <w:rFonts w:hint="eastAsia" w:ascii="宋体" w:hAnsi="宋体" w:eastAsia="方正仿宋_GBK" w:cs="方正仿宋_GBK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，滇池</w:t>
      </w:r>
      <w:r>
        <w:rPr>
          <w:rFonts w:hint="default" w:ascii="宋体" w:hAnsi="宋体" w:eastAsia="方正仿宋_GBK" w:cs="Times New Roman"/>
          <w:color w:val="auto"/>
          <w:kern w:val="2"/>
          <w:sz w:val="32"/>
          <w:szCs w:val="32"/>
          <w:highlight w:val="none"/>
          <w:u w:val="none"/>
          <w:lang w:val="en-US" w:eastAsia="zh-CN" w:bidi="ar-SA"/>
        </w:rPr>
        <w:t>、洱海重现海菜花，泸沽湖、抚仙湖常年保持Ⅰ类优质水体，赤水河、独龙江入选全国美丽河湖优秀案例</w:t>
      </w:r>
      <w:r>
        <w:rPr>
          <w:rFonts w:hint="eastAsia" w:ascii="宋体" w:hAnsi="宋体" w:eastAsia="方正仿宋_GBK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  <w:t>。</w:t>
      </w:r>
    </w:p>
    <w:p w14:paraId="394FDCC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宋体" w:hAnsi="宋体" w:eastAsia="方正仿宋_GBK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方正仿宋_GBK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  <w:t>面向南亚东南亚辐射中心发展能级稳步跃升。</w:t>
      </w:r>
      <w:r>
        <w:rPr>
          <w:rFonts w:hint="default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中越、中老、中缅国际大通道高速公路国内段全部建成，“八出省五出境”铁路通道不断延伸</w:t>
      </w: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default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跨境互联互通骨干网络不断完善</w:t>
      </w: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沿线园区、城镇、物流及口岸空间布局不断优化</w:t>
      </w:r>
      <w:r>
        <w:rPr>
          <w:rFonts w:hint="default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。昆明都市圈入列国家级都市圈，滇中城市群</w:t>
      </w: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人口和经济集聚功能持续提升，</w:t>
      </w:r>
      <w:r>
        <w:rPr>
          <w:rFonts w:hint="default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保障磨憨、瑞丽、河口等重点口岸和产业园区</w:t>
      </w: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、边民互市贸易</w:t>
      </w: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空间需求，</w:t>
      </w:r>
      <w:r>
        <w:rPr>
          <w:rFonts w:hint="eastAsia" w:ascii="宋体" w:hAnsi="宋体" w:eastAsia="方正仿宋_GBK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口岸城</w:t>
      </w:r>
      <w:r>
        <w:rPr>
          <w:rFonts w:hint="eastAsia" w:ascii="宋体" w:hAnsi="宋体"/>
          <w:color w:val="auto"/>
          <w:lang w:val="en-US" w:eastAsia="zh-CN"/>
        </w:rPr>
        <w:t>镇－县城－中心城市</w:t>
      </w: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highlight w:val="none"/>
          <w:lang w:val="en-US" w:eastAsia="zh-CN"/>
        </w:rPr>
        <w:t>岸腹</w:t>
      </w:r>
      <w:r>
        <w:rPr>
          <w:rFonts w:hint="default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联动</w:t>
      </w: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default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格局加快构建</w:t>
      </w:r>
      <w:r>
        <w:rPr>
          <w:rFonts w:hint="eastAsia" w:ascii="宋体" w:hAnsi="宋体" w:cs="方正仿宋_GBK"/>
          <w:b w:val="0"/>
          <w:bCs w:val="0"/>
          <w:color w:val="auto"/>
          <w:sz w:val="32"/>
          <w:szCs w:val="32"/>
          <w:highlight w:val="none"/>
          <w:lang w:eastAsia="zh-CN"/>
        </w:rPr>
        <w:t>。</w:t>
      </w:r>
    </w:p>
    <w:p w14:paraId="4FFF5774"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Chars="200"/>
        <w:textAlignment w:val="auto"/>
        <w:rPr>
          <w:rFonts w:hint="eastAsia" w:ascii="宋体" w:hAnsi="宋体" w:cs="Times New Roman"/>
          <w:color w:val="auto"/>
          <w:highlight w:val="none"/>
          <w:lang w:val="en-US" w:eastAsia="zh-CN"/>
        </w:rPr>
      </w:pP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2.主体功能区与区域协调战略落地成效显著</w:t>
      </w:r>
    </w:p>
    <w:p w14:paraId="07E294F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宋体" w:hAnsi="宋体"/>
          <w:color w:val="auto"/>
          <w:lang w:val="en-US" w:eastAsia="zh-CN"/>
        </w:rPr>
      </w:pPr>
      <w:r>
        <w:rPr>
          <w:rFonts w:hint="eastAsia" w:ascii="宋体" w:hAnsi="宋体" w:eastAsia="方正仿宋_GBK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  <w:t>主体功能区</w:t>
      </w:r>
      <w:r>
        <w:rPr>
          <w:rFonts w:hint="eastAsia" w:ascii="宋体" w:hAnsi="宋体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  <w:t>战略推动国土空间格局优化</w:t>
      </w:r>
      <w:r>
        <w:rPr>
          <w:rFonts w:hint="eastAsia" w:ascii="宋体" w:hAnsi="宋体" w:eastAsia="方正仿宋_GBK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  <w:t>。</w:t>
      </w:r>
      <w:r>
        <w:rPr>
          <w:rFonts w:hint="default" w:ascii="宋体" w:hAnsi="宋体"/>
          <w:color w:val="auto"/>
          <w:highlight w:val="none"/>
          <w:lang w:val="en-US" w:eastAsia="zh-CN"/>
        </w:rPr>
        <w:t>以</w:t>
      </w:r>
      <w:r>
        <w:rPr>
          <w:rFonts w:hint="eastAsia" w:ascii="宋体" w:hAnsi="宋体" w:eastAsia="方正仿宋_GBK" w:cs="方正仿宋_GBK"/>
          <w:color w:val="auto"/>
          <w:highlight w:val="none"/>
          <w:lang w:val="en-US" w:eastAsia="zh-CN"/>
        </w:rPr>
        <w:t>“五区四带”“三屏两带六廊多点”“一圈一群两翼一带”为核心的三大主体功能空间格局</w:t>
      </w:r>
      <w:r>
        <w:rPr>
          <w:rFonts w:hint="eastAsia" w:ascii="宋体" w:hAnsi="宋体" w:cs="方正仿宋_GBK"/>
          <w:color w:val="auto"/>
          <w:highlight w:val="none"/>
          <w:lang w:val="en-US" w:eastAsia="zh-CN"/>
        </w:rPr>
        <w:t>基本形成</w:t>
      </w:r>
      <w:r>
        <w:rPr>
          <w:rFonts w:hint="eastAsia" w:ascii="宋体" w:hAnsi="宋体" w:eastAsia="方正仿宋_GBK" w:cs="方正仿宋_GBK"/>
          <w:color w:val="auto"/>
          <w:highlight w:val="none"/>
          <w:lang w:val="en-US" w:eastAsia="zh-CN"/>
        </w:rPr>
        <w:t>。</w:t>
      </w:r>
      <w:r>
        <w:rPr>
          <w:rFonts w:hint="eastAsia" w:ascii="宋体" w:hAnsi="宋体" w:cs="方正仿宋_GBK"/>
          <w:color w:val="auto"/>
          <w:highlight w:val="none"/>
          <w:lang w:val="en-US" w:eastAsia="zh-CN"/>
        </w:rPr>
        <w:t>推进</w:t>
      </w:r>
      <w:r>
        <w:rPr>
          <w:rFonts w:hint="eastAsia" w:ascii="宋体" w:hAnsi="宋体" w:eastAsia="方正仿宋_GBK" w:cs="方正仿宋_GBK"/>
          <w:color w:val="auto"/>
          <w:highlight w:val="none"/>
          <w:lang w:val="en-US" w:eastAsia="zh-CN"/>
        </w:rPr>
        <w:t>“</w:t>
      </w:r>
      <w:r>
        <w:rPr>
          <w:rFonts w:hint="eastAsia" w:ascii="宋体" w:hAnsi="宋体"/>
          <w:color w:val="auto"/>
          <w:highlight w:val="none"/>
          <w:lang w:val="en-US" w:eastAsia="zh-CN"/>
        </w:rPr>
        <w:t>3+5</w:t>
      </w:r>
      <w:r>
        <w:rPr>
          <w:rFonts w:hint="eastAsia" w:ascii="宋体" w:hAnsi="宋体" w:eastAsia="方正仿宋_GBK" w:cs="方正仿宋_GBK"/>
          <w:color w:val="auto"/>
          <w:highlight w:val="none"/>
          <w:lang w:val="en-US" w:eastAsia="zh-CN"/>
        </w:rPr>
        <w:t>”主体功能分</w:t>
      </w:r>
      <w:r>
        <w:rPr>
          <w:rFonts w:hint="default" w:ascii="宋体" w:hAnsi="宋体"/>
          <w:color w:val="auto"/>
          <w:highlight w:val="none"/>
          <w:lang w:val="en-US" w:eastAsia="zh-CN"/>
        </w:rPr>
        <w:t>区</w:t>
      </w:r>
      <w:r>
        <w:rPr>
          <w:rFonts w:hint="eastAsia" w:ascii="宋体" w:hAnsi="宋体"/>
          <w:color w:val="auto"/>
          <w:highlight w:val="none"/>
          <w:lang w:val="en-US" w:eastAsia="zh-CN"/>
        </w:rPr>
        <w:t>落地实施</w:t>
      </w:r>
      <w:r>
        <w:rPr>
          <w:rFonts w:hint="default" w:ascii="宋体" w:hAnsi="宋体"/>
          <w:color w:val="auto"/>
          <w:highlight w:val="none"/>
          <w:lang w:val="en-US" w:eastAsia="zh-CN"/>
        </w:rPr>
        <w:t>，农产品主产区保障粮食安全</w:t>
      </w:r>
      <w:r>
        <w:rPr>
          <w:rFonts w:hint="eastAsia" w:ascii="宋体" w:hAnsi="宋体"/>
          <w:color w:val="auto"/>
          <w:highlight w:val="none"/>
          <w:lang w:val="en-US" w:eastAsia="zh-CN"/>
        </w:rPr>
        <w:t>的作用持续增强，</w:t>
      </w:r>
      <w:r>
        <w:rPr>
          <w:rFonts w:hint="default" w:ascii="宋体" w:hAnsi="宋体"/>
          <w:color w:val="auto"/>
          <w:highlight w:val="none"/>
          <w:lang w:val="en-US" w:eastAsia="zh-CN"/>
        </w:rPr>
        <w:t>重点生态功能区</w:t>
      </w:r>
      <w:r>
        <w:rPr>
          <w:rFonts w:hint="eastAsia" w:ascii="宋体" w:hAnsi="宋体"/>
          <w:color w:val="auto"/>
          <w:highlight w:val="none"/>
          <w:lang w:val="en-US" w:eastAsia="zh-CN"/>
        </w:rPr>
        <w:t>生态系统功能、生态安全屏障功能进一步提升，</w:t>
      </w:r>
      <w:r>
        <w:rPr>
          <w:rFonts w:hint="default" w:ascii="宋体" w:hAnsi="宋体"/>
          <w:color w:val="auto"/>
          <w:highlight w:val="none"/>
          <w:lang w:val="en-US" w:eastAsia="zh-CN"/>
        </w:rPr>
        <w:t>城市化地区持续完善城镇空间布局，经济和人口集聚能力不断增强。边境地区、能源资源富集区等5个特殊功能区差异化配套政策正在探索推进</w:t>
      </w:r>
      <w:r>
        <w:rPr>
          <w:rFonts w:hint="eastAsia" w:ascii="宋体" w:hAnsi="宋体"/>
          <w:color w:val="auto"/>
          <w:highlight w:val="none"/>
          <w:lang w:val="en-US" w:eastAsia="zh-CN"/>
        </w:rPr>
        <w:t>。</w:t>
      </w:r>
      <w:r>
        <w:rPr>
          <w:rFonts w:hint="default" w:ascii="宋体" w:hAnsi="宋体"/>
          <w:color w:val="auto"/>
          <w:highlight w:val="none"/>
          <w:lang w:val="en-US" w:eastAsia="zh-CN"/>
        </w:rPr>
        <w:t>主体功能明显、优势互补的国土空间开发保护新格局</w:t>
      </w:r>
      <w:r>
        <w:rPr>
          <w:rFonts w:hint="eastAsia" w:ascii="宋体" w:hAnsi="宋体"/>
          <w:color w:val="auto"/>
          <w:highlight w:val="none"/>
          <w:lang w:val="en-US" w:eastAsia="zh-CN"/>
        </w:rPr>
        <w:t>加快构建，</w:t>
      </w:r>
      <w:r>
        <w:rPr>
          <w:rFonts w:hint="eastAsia" w:ascii="宋体" w:hAnsi="宋体"/>
          <w:color w:val="auto"/>
          <w:lang w:val="en-US" w:eastAsia="zh-CN"/>
        </w:rPr>
        <w:t>为推动区域协调发展、优化重大生产力布局提供有力支撑。</w:t>
      </w:r>
    </w:p>
    <w:p w14:paraId="0066D37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/>
          <w:color w:val="auto"/>
          <w:lang w:val="en-US" w:eastAsia="zh-CN"/>
        </w:rPr>
      </w:pPr>
      <w:r>
        <w:rPr>
          <w:rFonts w:hint="eastAsia" w:ascii="宋体" w:hAnsi="宋体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  <w:t>区域协调发展</w:t>
      </w:r>
      <w:r>
        <w:rPr>
          <w:rFonts w:hint="eastAsia" w:ascii="宋体" w:hAnsi="宋体" w:eastAsia="方正仿宋_GBK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  <w:t>战</w:t>
      </w:r>
      <w:r>
        <w:rPr>
          <w:rFonts w:hint="eastAsia" w:ascii="宋体" w:hAnsi="宋体" w:cs="Times New Roman"/>
          <w:b/>
          <w:bCs/>
          <w:color w:val="auto"/>
          <w:kern w:val="2"/>
          <w:sz w:val="32"/>
          <w:szCs w:val="24"/>
          <w:highlight w:val="none"/>
          <w:lang w:val="en-US" w:eastAsia="zh-CN" w:bidi="ar-SA"/>
        </w:rPr>
        <w:t>略联动成效初显。</w:t>
      </w:r>
      <w:r>
        <w:rPr>
          <w:rFonts w:hint="eastAsia" w:ascii="宋体" w:hAnsi="宋体"/>
          <w:color w:val="auto"/>
          <w:lang w:val="en-US" w:eastAsia="zh-CN"/>
        </w:rPr>
        <w:t>主动服务和融入长江经济带发展战略，深入推进赤水河流域保护治理，抓实抓好长江上游大保护；支持水富港完成千万吨级枢纽港口扩容改造，打通云南唯一长江出海通道，沿江冷链物流园区布局不断优化。支持推进富宁港建设，打通右江－珠江直达珠三角航道，补齐云南通江达海短板；支持滇中、红河、文山相关园区打造面向粤港澳大湾区产业转移承接地，加工贸易梯度转移承载能力提升。实现沿边、沿江双向开放联动。</w:t>
      </w:r>
    </w:p>
    <w:p w14:paraId="467939A0">
      <w:pPr>
        <w:pStyle w:val="4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firstLineChars="200"/>
        <w:textAlignment w:val="auto"/>
        <w:rPr>
          <w:rFonts w:hint="eastAsia" w:ascii="宋体" w:hAnsi="宋体" w:cs="Times New Roman"/>
          <w:color w:val="auto"/>
          <w:highlight w:val="none"/>
          <w:lang w:val="en-US" w:eastAsia="zh-CN"/>
        </w:rPr>
      </w:pP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3</w:t>
      </w: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.</w:t>
      </w: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国土空间</w:t>
      </w: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安全底线</w:t>
      </w: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持续</w:t>
      </w: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稳固</w:t>
      </w:r>
    </w:p>
    <w:p w14:paraId="2C8FEE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方正仿宋_GBK" w:cs="Times New Roman"/>
          <w:b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耕地保护红线管控成效持续凸显。</w:t>
      </w:r>
      <w:r>
        <w:rPr>
          <w:rFonts w:hint="default" w:ascii="宋体" w:hAnsi="宋体"/>
          <w:color w:val="auto"/>
          <w:highlight w:val="none"/>
          <w:lang w:val="en-US" w:eastAsia="zh-CN"/>
        </w:rPr>
        <w:t>牢牢守住国家下达的7857万亩耕地保护任务</w:t>
      </w:r>
      <w:r>
        <w:rPr>
          <w:rFonts w:hint="eastAsia" w:ascii="宋体" w:hAnsi="宋体"/>
          <w:color w:val="auto"/>
          <w:highlight w:val="none"/>
          <w:lang w:val="en-US" w:eastAsia="zh-CN"/>
        </w:rPr>
        <w:t>和5709万亩永久基本农田保护任务</w:t>
      </w:r>
      <w:r>
        <w:rPr>
          <w:rFonts w:hint="default" w:ascii="宋体" w:hAnsi="宋体"/>
          <w:color w:val="auto"/>
          <w:highlight w:val="none"/>
          <w:lang w:val="en-US" w:eastAsia="zh-CN"/>
        </w:rPr>
        <w:t>，将坝区90%以上的优质耕地划入永久基本农田实施特殊保护。持续推进高标准农田建设和补充耕地工作</w:t>
      </w:r>
      <w:r>
        <w:rPr>
          <w:rFonts w:hint="eastAsia" w:ascii="宋体" w:hAnsi="宋体"/>
          <w:color w:val="auto"/>
          <w:highlight w:val="none"/>
          <w:lang w:val="en-US" w:eastAsia="zh-CN"/>
        </w:rPr>
        <w:t>，</w:t>
      </w:r>
      <w:r>
        <w:rPr>
          <w:rFonts w:hint="default" w:ascii="宋体" w:hAnsi="宋体"/>
          <w:color w:val="auto"/>
          <w:highlight w:val="none"/>
          <w:lang w:val="en-US" w:eastAsia="zh-CN"/>
        </w:rPr>
        <w:t>推动耕地下山、林果上山，全力保障高原特色农业</w:t>
      </w:r>
      <w:r>
        <w:rPr>
          <w:rFonts w:hint="eastAsia" w:ascii="宋体" w:hAnsi="宋体" w:eastAsia="方正仿宋_GBK" w:cs="方正仿宋_GBK"/>
          <w:color w:val="auto"/>
          <w:highlight w:val="none"/>
          <w:lang w:val="en-US" w:eastAsia="zh-CN"/>
        </w:rPr>
        <w:t>“</w:t>
      </w:r>
      <w:r>
        <w:rPr>
          <w:rFonts w:hint="default" w:ascii="宋体" w:hAnsi="宋体"/>
          <w:color w:val="auto"/>
          <w:highlight w:val="none"/>
          <w:lang w:val="en-US" w:eastAsia="zh-CN"/>
        </w:rPr>
        <w:t>1+10+3</w:t>
      </w:r>
      <w:r>
        <w:rPr>
          <w:rFonts w:hint="default" w:ascii="宋体" w:hAnsi="宋体" w:eastAsia="方正仿宋_GBK" w:cs="方正仿宋_GBK"/>
          <w:color w:val="auto"/>
          <w:highlight w:val="none"/>
          <w:lang w:val="en-US" w:eastAsia="zh-CN"/>
        </w:rPr>
        <w:t>”</w:t>
      </w:r>
      <w:r>
        <w:rPr>
          <w:rFonts w:hint="default" w:ascii="宋体" w:hAnsi="宋体"/>
          <w:color w:val="auto"/>
          <w:highlight w:val="none"/>
          <w:lang w:val="en-US" w:eastAsia="zh-CN"/>
        </w:rPr>
        <w:t>重点产业种植空间；出台设施农业用地管理政策，有力支撑中药材、牛羊、生猪等特色优势产业发展。</w:t>
      </w:r>
    </w:p>
    <w:p w14:paraId="05914D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highlight w:val="none"/>
          <w:lang w:val="en-US" w:eastAsia="zh-CN"/>
        </w:rPr>
      </w:pPr>
      <w:r>
        <w:rPr>
          <w:rFonts w:hint="eastAsia" w:ascii="宋体" w:hAnsi="宋体" w:eastAsia="方正仿宋_GBK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自然生态安全边界管控体系落地</w:t>
      </w:r>
      <w:r>
        <w:rPr>
          <w:rFonts w:hint="eastAsia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见效</w:t>
      </w:r>
      <w:r>
        <w:rPr>
          <w:rFonts w:hint="eastAsia" w:ascii="宋体" w:hAnsi="宋体" w:eastAsia="方正仿宋_GBK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宋体" w:hAnsi="宋体"/>
          <w:color w:val="auto"/>
          <w:highlight w:val="none"/>
          <w:lang w:val="en-US" w:eastAsia="zh-CN"/>
        </w:rPr>
        <w:t>严守</w:t>
      </w:r>
      <w:r>
        <w:rPr>
          <w:rFonts w:hint="eastAsia" w:ascii="宋体" w:hAnsi="宋体"/>
          <w:color w:val="auto"/>
          <w:highlight w:val="none"/>
          <w:lang w:val="en-US" w:eastAsia="zh-CN"/>
        </w:rPr>
        <w:t>11.32万平方千米</w:t>
      </w:r>
      <w:r>
        <w:rPr>
          <w:rFonts w:hint="default" w:ascii="宋体" w:hAnsi="宋体"/>
          <w:color w:val="auto"/>
          <w:highlight w:val="none"/>
          <w:lang w:val="en-US" w:eastAsia="zh-CN"/>
        </w:rPr>
        <w:t>生态保护红线，出台管理政策确保红线空间结构总体稳定。有序推进长江经济带</w:t>
      </w:r>
      <w:r>
        <w:rPr>
          <w:rFonts w:hint="eastAsia" w:ascii="宋体" w:hAnsi="宋体"/>
          <w:color w:val="auto"/>
          <w:highlight w:val="none"/>
          <w:lang w:val="en-US" w:eastAsia="zh-CN"/>
        </w:rPr>
        <w:t>、青藏高原东南缘</w:t>
      </w:r>
      <w:r>
        <w:rPr>
          <w:rFonts w:hint="default" w:ascii="宋体" w:hAnsi="宋体"/>
          <w:color w:val="auto"/>
          <w:highlight w:val="none"/>
          <w:lang w:val="en-US" w:eastAsia="zh-CN"/>
        </w:rPr>
        <w:t>、赤水河流域等重要生态区域</w:t>
      </w:r>
      <w:r>
        <w:rPr>
          <w:rFonts w:hint="eastAsia" w:ascii="宋体" w:hAnsi="宋体"/>
          <w:color w:val="auto"/>
          <w:highlight w:val="none"/>
          <w:lang w:val="en-US" w:eastAsia="zh-CN"/>
        </w:rPr>
        <w:t>历史遗留</w:t>
      </w:r>
      <w:r>
        <w:rPr>
          <w:rFonts w:hint="default" w:ascii="宋体" w:hAnsi="宋体"/>
          <w:color w:val="auto"/>
          <w:highlight w:val="none"/>
          <w:lang w:val="en-US" w:eastAsia="zh-CN"/>
        </w:rPr>
        <w:t>废弃矿山生态修复</w:t>
      </w:r>
      <w:r>
        <w:rPr>
          <w:rFonts w:hint="eastAsia" w:ascii="宋体" w:hAnsi="宋体"/>
          <w:color w:val="auto"/>
          <w:highlight w:val="none"/>
          <w:lang w:val="en-US" w:eastAsia="zh-CN"/>
        </w:rPr>
        <w:t>治理</w:t>
      </w:r>
      <w:r>
        <w:rPr>
          <w:rFonts w:hint="default" w:ascii="宋体" w:hAnsi="宋体"/>
          <w:color w:val="auto"/>
          <w:highlight w:val="none"/>
          <w:lang w:val="en-US" w:eastAsia="zh-CN"/>
        </w:rPr>
        <w:t>，建成77座绿色矿山。完成滇池、洱海、高黎贡山等40多个</w:t>
      </w:r>
      <w:r>
        <w:rPr>
          <w:rFonts w:hint="eastAsia" w:ascii="宋体" w:hAnsi="宋体"/>
          <w:color w:val="auto"/>
          <w:highlight w:val="none"/>
          <w:lang w:val="en-US" w:eastAsia="zh-CN"/>
        </w:rPr>
        <w:t>自然保护区、重要江河湖泊</w:t>
      </w:r>
      <w:r>
        <w:rPr>
          <w:rFonts w:hint="default" w:ascii="宋体" w:hAnsi="宋体"/>
          <w:color w:val="auto"/>
          <w:highlight w:val="none"/>
          <w:lang w:val="en-US" w:eastAsia="zh-CN"/>
        </w:rPr>
        <w:t>的登记登簿</w:t>
      </w:r>
      <w:r>
        <w:rPr>
          <w:rFonts w:hint="eastAsia" w:ascii="宋体" w:hAnsi="宋体"/>
          <w:color w:val="auto"/>
          <w:highlight w:val="none"/>
          <w:lang w:val="en-US" w:eastAsia="zh-CN"/>
        </w:rPr>
        <w:t>，</w:t>
      </w:r>
      <w:r>
        <w:rPr>
          <w:rFonts w:hint="default" w:ascii="宋体" w:hAnsi="宋体"/>
          <w:color w:val="auto"/>
          <w:highlight w:val="none"/>
          <w:lang w:val="en-US" w:eastAsia="zh-CN"/>
        </w:rPr>
        <w:t>赤水河</w:t>
      </w:r>
      <w:r>
        <w:rPr>
          <w:rFonts w:hint="eastAsia" w:ascii="宋体" w:hAnsi="宋体"/>
          <w:color w:val="auto"/>
          <w:highlight w:val="none"/>
          <w:lang w:val="en-US" w:eastAsia="zh-CN"/>
        </w:rPr>
        <w:t>流域</w:t>
      </w:r>
      <w:r>
        <w:rPr>
          <w:rFonts w:hint="default" w:ascii="宋体" w:hAnsi="宋体"/>
          <w:color w:val="auto"/>
          <w:highlight w:val="none"/>
          <w:lang w:val="en-US" w:eastAsia="zh-CN"/>
        </w:rPr>
        <w:t>（云南段）建立跨省横向生态</w:t>
      </w:r>
      <w:r>
        <w:rPr>
          <w:rFonts w:hint="eastAsia" w:ascii="宋体" w:hAnsi="宋体"/>
          <w:color w:val="auto"/>
          <w:highlight w:val="none"/>
          <w:lang w:val="en-US" w:eastAsia="zh-CN"/>
        </w:rPr>
        <w:t>保护</w:t>
      </w:r>
      <w:r>
        <w:rPr>
          <w:rFonts w:hint="default" w:ascii="宋体" w:hAnsi="宋体"/>
          <w:color w:val="auto"/>
          <w:highlight w:val="none"/>
          <w:lang w:val="en-US" w:eastAsia="zh-CN"/>
        </w:rPr>
        <w:t>补偿机制，南华县菌山承包机制、元谋县林业碳汇补偿机制、阿者科村乡村旅游等探索了生态富民新路径。</w:t>
      </w:r>
    </w:p>
    <w:p w14:paraId="7D1CEE55">
      <w:pPr>
        <w:pStyle w:val="1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lang w:val="en-US" w:eastAsia="zh-CN"/>
        </w:rPr>
      </w:pPr>
      <w:r>
        <w:rPr>
          <w:rFonts w:hint="eastAsia" w:ascii="宋体" w:hAnsi="宋体"/>
          <w:b/>
          <w:bCs/>
          <w:color w:val="auto"/>
          <w:lang w:val="en-US" w:eastAsia="zh-CN"/>
        </w:rPr>
        <w:t>城镇开发边界管理规范有序。</w:t>
      </w:r>
      <w:r>
        <w:rPr>
          <w:rFonts w:hint="eastAsia" w:ascii="宋体" w:hAnsi="宋体"/>
          <w:color w:val="auto"/>
          <w:lang w:eastAsia="zh-CN"/>
        </w:rPr>
        <w:t>确保</w:t>
      </w:r>
      <w:r>
        <w:rPr>
          <w:rFonts w:hint="eastAsia" w:ascii="宋体" w:hAnsi="宋体"/>
          <w:color w:val="auto"/>
          <w:lang w:val="en-US" w:eastAsia="zh-CN"/>
        </w:rPr>
        <w:t>全省城镇开发边界扩展倍数控制在</w:t>
      </w:r>
      <w:r>
        <w:rPr>
          <w:rFonts w:hint="eastAsia" w:ascii="宋体" w:hAnsi="宋体" w:eastAsia="方正仿宋_GBK" w:cstheme="minorBidi"/>
          <w:color w:val="auto"/>
          <w:kern w:val="2"/>
          <w:sz w:val="32"/>
          <w:szCs w:val="24"/>
          <w:highlight w:val="none"/>
          <w:lang w:val="en-US" w:eastAsia="zh-CN" w:bidi="ar-SA"/>
        </w:rPr>
        <w:t>1.3</w:t>
      </w:r>
      <w:r>
        <w:rPr>
          <w:rFonts w:hint="eastAsia" w:ascii="宋体" w:hAnsi="宋体"/>
          <w:color w:val="auto"/>
          <w:lang w:val="en-US" w:eastAsia="zh-CN"/>
        </w:rPr>
        <w:t>倍以内，出台城镇开发边界管理政策文件，通过城镇开发边界局部优化提供精准化空间保障，规范独立城镇建设用地管理，保障有特定选址要求的城镇基础设施、公共服务和公共管理设施等用地落地。</w:t>
      </w:r>
    </w:p>
    <w:p w14:paraId="728BA64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/>
        <w:textAlignment w:val="auto"/>
        <w:rPr>
          <w:rFonts w:hint="default" w:ascii="宋体" w:hAnsi="宋体"/>
          <w:color w:val="auto"/>
          <w:lang w:val="en-US" w:eastAsia="zh-CN"/>
        </w:rPr>
      </w:pPr>
      <w:r>
        <w:rPr>
          <w:rFonts w:hint="eastAsia" w:ascii="宋体" w:hAnsi="宋体"/>
          <w:b/>
          <w:bCs/>
          <w:color w:val="auto"/>
          <w:lang w:val="en-US" w:eastAsia="zh-CN"/>
        </w:rPr>
        <w:t>其他</w:t>
      </w:r>
      <w:r>
        <w:rPr>
          <w:rFonts w:hint="default" w:ascii="宋体" w:hAnsi="宋体"/>
          <w:b/>
          <w:bCs/>
          <w:color w:val="auto"/>
          <w:lang w:val="en-US" w:eastAsia="zh-CN"/>
        </w:rPr>
        <w:t>重要控制线管控</w:t>
      </w:r>
      <w:r>
        <w:rPr>
          <w:rFonts w:hint="eastAsia" w:ascii="宋体" w:hAnsi="宋体"/>
          <w:b/>
          <w:bCs/>
          <w:color w:val="auto"/>
          <w:lang w:val="en-US" w:eastAsia="zh-CN"/>
        </w:rPr>
        <w:t>不断</w:t>
      </w:r>
      <w:r>
        <w:rPr>
          <w:rFonts w:hint="default" w:ascii="宋体" w:hAnsi="宋体"/>
          <w:b/>
          <w:bCs/>
          <w:color w:val="auto"/>
          <w:lang w:val="en-US" w:eastAsia="zh-CN"/>
        </w:rPr>
        <w:t>加强。</w:t>
      </w:r>
      <w:r>
        <w:rPr>
          <w:rFonts w:hint="eastAsia" w:ascii="宋体" w:hAnsi="宋体" w:eastAsia="方正仿宋_GBK" w:cs="方正仿宋_GBK"/>
          <w:color w:val="auto"/>
          <w:lang w:val="en-US" w:eastAsia="zh-CN"/>
        </w:rPr>
        <w:t>加强与相关部门的协同衔接</w:t>
      </w:r>
      <w:r>
        <w:rPr>
          <w:rFonts w:hint="eastAsia" w:ascii="宋体" w:hAnsi="宋体" w:cs="方正仿宋_GBK"/>
          <w:color w:val="auto"/>
          <w:lang w:val="en-US" w:eastAsia="zh-CN"/>
        </w:rPr>
        <w:t>，</w:t>
      </w:r>
      <w:r>
        <w:rPr>
          <w:rFonts w:hint="eastAsia" w:ascii="宋体" w:hAnsi="宋体"/>
          <w:color w:val="auto"/>
          <w:lang w:val="en-US" w:eastAsia="zh-CN"/>
        </w:rPr>
        <w:t>将</w:t>
      </w:r>
      <w:r>
        <w:rPr>
          <w:rFonts w:hint="default" w:ascii="宋体" w:hAnsi="宋体"/>
          <w:color w:val="auto"/>
          <w:lang w:val="en-US" w:eastAsia="zh-CN"/>
        </w:rPr>
        <w:t>历史文化保护线等重要控制线纳入</w:t>
      </w:r>
      <w:r>
        <w:rPr>
          <w:rFonts w:hint="eastAsia" w:ascii="宋体" w:hAnsi="宋体" w:eastAsia="方正仿宋_GBK" w:cs="方正仿宋_GBK"/>
          <w:color w:val="auto"/>
          <w:lang w:val="en-US" w:eastAsia="zh-CN"/>
        </w:rPr>
        <w:t>“一张图”管理。</w:t>
      </w:r>
      <w:r>
        <w:rPr>
          <w:rFonts w:hint="eastAsia" w:ascii="宋体" w:hAnsi="宋体" w:cs="方正仿宋_GBK"/>
          <w:color w:val="auto"/>
          <w:lang w:val="en-US" w:eastAsia="zh-CN"/>
        </w:rPr>
        <w:t>加强历史文化名城、名镇、名村、街区和传统村落</w:t>
      </w:r>
      <w:r>
        <w:rPr>
          <w:rFonts w:hint="default" w:ascii="宋体" w:hAnsi="宋体" w:eastAsia="方正仿宋_GBK" w:cstheme="minorBidi"/>
          <w:color w:val="auto"/>
          <w:kern w:val="2"/>
          <w:sz w:val="32"/>
          <w:szCs w:val="24"/>
          <w:highlight w:val="none"/>
          <w:lang w:val="en-US" w:eastAsia="zh-CN" w:bidi="ar-SA"/>
        </w:rPr>
        <w:t>集中连片保护利用</w:t>
      </w:r>
      <w:r>
        <w:rPr>
          <w:rFonts w:hint="eastAsia" w:ascii="宋体" w:hAnsi="宋体" w:eastAsia="方正仿宋_GBK" w:cs="方正仿宋_GBK"/>
          <w:color w:val="auto"/>
          <w:lang w:val="en-US" w:eastAsia="zh-CN"/>
        </w:rPr>
        <w:t>。</w:t>
      </w:r>
      <w:r>
        <w:rPr>
          <w:rFonts w:hint="eastAsia" w:ascii="宋体" w:hAnsi="宋体" w:cstheme="minorBidi"/>
          <w:color w:val="auto"/>
          <w:kern w:val="2"/>
          <w:sz w:val="32"/>
          <w:szCs w:val="24"/>
          <w:highlight w:val="none"/>
          <w:lang w:val="en-US" w:eastAsia="zh-CN" w:bidi="ar-SA"/>
        </w:rPr>
        <w:t>加强地质灾害</w:t>
      </w:r>
      <w:r>
        <w:rPr>
          <w:rFonts w:hint="default" w:ascii="宋体" w:hAnsi="宋体" w:eastAsia="方正仿宋_GBK" w:cstheme="minorBidi"/>
          <w:color w:val="auto"/>
          <w:kern w:val="2"/>
          <w:sz w:val="32"/>
          <w:szCs w:val="24"/>
          <w:highlight w:val="none"/>
          <w:lang w:val="en-US" w:eastAsia="zh-CN" w:bidi="ar-SA"/>
        </w:rPr>
        <w:t>隐患点监测预警</w:t>
      </w:r>
      <w:r>
        <w:rPr>
          <w:rFonts w:hint="eastAsia" w:ascii="宋体" w:hAnsi="宋体" w:cstheme="minorBidi"/>
          <w:color w:val="auto"/>
          <w:kern w:val="2"/>
          <w:sz w:val="32"/>
          <w:szCs w:val="24"/>
          <w:highlight w:val="none"/>
          <w:lang w:val="en-US" w:eastAsia="zh-CN" w:bidi="ar-SA"/>
        </w:rPr>
        <w:t>，持续推进</w:t>
      </w:r>
      <w:r>
        <w:rPr>
          <w:rFonts w:hint="default" w:ascii="宋体" w:hAnsi="宋体" w:eastAsia="方正仿宋_GBK" w:cstheme="minorBidi"/>
          <w:color w:val="auto"/>
          <w:kern w:val="2"/>
          <w:sz w:val="32"/>
          <w:szCs w:val="24"/>
          <w:highlight w:val="none"/>
          <w:lang w:val="en-US" w:eastAsia="zh-CN" w:bidi="ar-SA"/>
        </w:rPr>
        <w:t>地质灾害治理工程</w:t>
      </w:r>
      <w:r>
        <w:rPr>
          <w:rFonts w:hint="eastAsia" w:ascii="宋体" w:hAnsi="宋体" w:cstheme="minorBidi"/>
          <w:color w:val="auto"/>
          <w:kern w:val="2"/>
          <w:sz w:val="32"/>
          <w:szCs w:val="24"/>
          <w:highlight w:val="none"/>
          <w:lang w:val="en-US" w:eastAsia="zh-CN" w:bidi="ar-SA"/>
        </w:rPr>
        <w:t>和</w:t>
      </w:r>
      <w:r>
        <w:rPr>
          <w:rFonts w:hint="default" w:ascii="宋体" w:hAnsi="宋体"/>
          <w:color w:val="auto"/>
          <w:lang w:val="en-US" w:eastAsia="zh-CN"/>
        </w:rPr>
        <w:t>地质灾害避险搬迁</w:t>
      </w:r>
      <w:r>
        <w:rPr>
          <w:rFonts w:hint="eastAsia" w:ascii="宋体" w:hAnsi="宋体"/>
          <w:color w:val="auto"/>
          <w:lang w:val="en-US" w:eastAsia="zh-CN"/>
        </w:rPr>
        <w:t>，</w:t>
      </w:r>
      <w:r>
        <w:rPr>
          <w:rFonts w:hint="default" w:ascii="宋体" w:hAnsi="宋体"/>
          <w:color w:val="auto"/>
          <w:lang w:val="en-US" w:eastAsia="zh-CN"/>
        </w:rPr>
        <w:t>切实保障人民群众生命财产安全。</w:t>
      </w:r>
    </w:p>
    <w:p w14:paraId="54ECF00C">
      <w:pPr>
        <w:pStyle w:val="4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firstLineChars="200"/>
        <w:textAlignment w:val="auto"/>
        <w:rPr>
          <w:rFonts w:hint="default" w:ascii="宋体" w:hAnsi="宋体" w:cs="Times New Roman"/>
          <w:color w:val="auto"/>
          <w:highlight w:val="none"/>
          <w:lang w:val="en-US" w:eastAsia="zh-CN"/>
        </w:rPr>
      </w:pP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4</w:t>
      </w: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.城乡高质量发展统筹推进</w:t>
      </w:r>
    </w:p>
    <w:p w14:paraId="6C88EF6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</w:pPr>
      <w:r>
        <w:rPr>
          <w:rFonts w:hint="default" w:ascii="宋体" w:hAnsi="宋体" w:eastAsia="方正仿宋_GBK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城镇空间宜居品质</w:t>
      </w:r>
      <w:r>
        <w:rPr>
          <w:rFonts w:hint="eastAsia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不断</w:t>
      </w:r>
      <w:r>
        <w:rPr>
          <w:rFonts w:hint="default" w:ascii="宋体" w:hAnsi="宋体" w:eastAsia="方正仿宋_GBK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提升。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深入实施城市更新行动，统筹推进老旧小区、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老旧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厂区、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老旧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街区和城中村改造，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有效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盘活处置闲置低效用地，推动土地资源向现代产业、民生配套、文旅融合等领域高效转化。统筹保障水、电、气、通信等基础设施空间，强化</w:t>
      </w:r>
      <w:r>
        <w:rPr>
          <w:rFonts w:hint="eastAsia" w:ascii="宋体" w:hAnsi="宋体" w:eastAsia="方正仿宋_GBK" w:cs="方正仿宋_GBK"/>
          <w:color w:val="auto"/>
          <w:highlight w:val="none"/>
          <w:u w:val="none"/>
          <w:lang w:val="en-US" w:eastAsia="zh-CN"/>
        </w:rPr>
        <w:t>“平急两用”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设施建设，城市安全韧性全面增强。严格管控城市蓝线、绿线、紫线、黄线，系统布局综合公园、社区公园、口袋公园等绿美公共空间，推进</w:t>
      </w:r>
      <w:r>
        <w:rPr>
          <w:rFonts w:hint="eastAsia" w:ascii="宋体" w:hAnsi="宋体" w:eastAsia="方正仿宋_GBK" w:cs="方正仿宋_GBK"/>
          <w:color w:val="auto"/>
          <w:highlight w:val="none"/>
          <w:u w:val="none"/>
          <w:lang w:val="en-US" w:eastAsia="zh-CN"/>
        </w:rPr>
        <w:t>十五分钟生活圈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建设，教育、医疗、文化、体育等公共服务资源持续提质扩容，让城市更有温度、更具品质。</w:t>
      </w:r>
    </w:p>
    <w:p w14:paraId="6B770F3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</w:pPr>
      <w:r>
        <w:rPr>
          <w:rFonts w:hint="eastAsia" w:ascii="宋体" w:hAnsi="宋体" w:eastAsia="方正仿宋_GBK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产业空间要素供给精准高效。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聚焦产业园区主阵地，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合理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保障122个产业园区发展空间。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创新优势产业和新业态用地供给方式。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出台16条旅居产业用地保障措施，精准保障优势产业和消费新业态用地需求；出台国有建设用地五年过渡期政策，支持利用存量房产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和土地资源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发展新产业、新业态。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深挖存量用地潜力，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有效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盘活处置批而未供和闲置土地，引导产业项目向开发区集中布局，有效保障开发区发展空间。</w:t>
      </w:r>
    </w:p>
    <w:p w14:paraId="434BF89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left"/>
        <w:textAlignment w:val="auto"/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</w:pPr>
      <w:r>
        <w:rPr>
          <w:rFonts w:hint="default" w:ascii="宋体" w:hAnsi="宋体" w:eastAsia="方正仿宋_GBK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宜居宜业和美乡村建设根基持续夯实。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开展</w:t>
      </w:r>
      <w:r>
        <w:rPr>
          <w:rFonts w:hint="eastAsia" w:ascii="宋体" w:hAnsi="宋体" w:eastAsia="方正仿宋_GBK" w:cs="方正仿宋_GBK"/>
          <w:color w:val="auto"/>
          <w:highlight w:val="none"/>
          <w:u w:val="none"/>
          <w:lang w:val="en-US" w:eastAsia="zh-CN"/>
        </w:rPr>
        <w:t>“干部规划家乡行动”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，动员12.6万余名公职人员回乡参与村庄规划编制，涌现出阿者科、银杏村、曼贺纳等一批样板村。盘活乡村存量建设用地，清理整治空心村闲置宅基地、废弃工矿用地，稳妥推进集体经营性建设用地入市，3个县入选全国改革典型。在元江、耿马、元阳等地启动6个全域土地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综合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整治项目，统筹田水路林村一体化改造，乡村生产、生活、生态空间持续优化。</w:t>
      </w:r>
    </w:p>
    <w:p w14:paraId="7D14DC31">
      <w:pPr>
        <w:pStyle w:val="4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firstLineChars="200"/>
        <w:textAlignment w:val="auto"/>
        <w:rPr>
          <w:rFonts w:hint="default" w:ascii="宋体" w:hAnsi="宋体" w:cs="Times New Roman"/>
          <w:color w:val="auto"/>
          <w:highlight w:val="none"/>
          <w:lang w:val="en-US" w:eastAsia="zh-CN"/>
        </w:rPr>
      </w:pP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5</w:t>
      </w: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.</w:t>
      </w: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有效保障</w:t>
      </w: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各类基础设施重大项目落地</w:t>
      </w: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实施</w:t>
      </w:r>
    </w:p>
    <w:p w14:paraId="7B3765B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/>
          <w:color w:val="auto"/>
          <w:highlight w:val="none"/>
          <w:lang w:eastAsia="zh-CN"/>
        </w:rPr>
      </w:pPr>
      <w:r>
        <w:rPr>
          <w:rFonts w:hint="eastAsia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高效保障重点交通项目建设空间。</w:t>
      </w:r>
      <w:r>
        <w:rPr>
          <w:rFonts w:hint="default" w:ascii="宋体" w:hAnsi="宋体"/>
          <w:color w:val="auto"/>
          <w:highlight w:val="none"/>
          <w:lang w:eastAsia="zh-CN"/>
        </w:rPr>
        <w:t>出台</w:t>
      </w:r>
      <w:r>
        <w:rPr>
          <w:rFonts w:hint="eastAsia" w:ascii="宋体" w:hAnsi="宋体"/>
          <w:color w:val="auto"/>
          <w:highlight w:val="none"/>
          <w:lang w:val="en-US" w:eastAsia="zh-CN"/>
        </w:rPr>
        <w:t>支持</w:t>
      </w:r>
      <w:r>
        <w:rPr>
          <w:rFonts w:hint="default" w:ascii="宋体" w:hAnsi="宋体"/>
          <w:color w:val="auto"/>
          <w:highlight w:val="none"/>
          <w:lang w:eastAsia="zh-CN"/>
        </w:rPr>
        <w:t>综合交通项目用地22条措施，保障昆明长水机场改扩建</w:t>
      </w:r>
      <w:r>
        <w:rPr>
          <w:rFonts w:hint="eastAsia" w:ascii="宋体" w:hAnsi="宋体"/>
          <w:color w:val="auto"/>
          <w:highlight w:val="none"/>
          <w:lang w:val="en-US" w:eastAsia="zh-CN"/>
        </w:rPr>
        <w:t>工程</w:t>
      </w:r>
      <w:r>
        <w:rPr>
          <w:rFonts w:hint="default" w:ascii="宋体" w:hAnsi="宋体"/>
          <w:color w:val="auto"/>
          <w:highlight w:val="none"/>
          <w:lang w:eastAsia="zh-CN"/>
        </w:rPr>
        <w:t>、文蒙铁路等</w:t>
      </w:r>
      <w:r>
        <w:rPr>
          <w:rFonts w:hint="eastAsia" w:ascii="宋体" w:hAnsi="宋体"/>
          <w:color w:val="auto"/>
          <w:highlight w:val="none"/>
          <w:lang w:val="en-US" w:eastAsia="zh-CN"/>
        </w:rPr>
        <w:t>一批</w:t>
      </w:r>
      <w:r>
        <w:rPr>
          <w:rFonts w:hint="default" w:ascii="宋体" w:hAnsi="宋体"/>
          <w:color w:val="auto"/>
          <w:highlight w:val="none"/>
          <w:lang w:eastAsia="zh-CN"/>
        </w:rPr>
        <w:t>重大交通项目落地。中老铁路、大瑞铁路大保段、丽香铁路、弥蒙铁路等项目用地全面保障，全省14个州（市）</w:t>
      </w:r>
      <w:r>
        <w:rPr>
          <w:rFonts w:hint="eastAsia" w:ascii="宋体" w:hAnsi="宋体"/>
          <w:color w:val="auto"/>
          <w:highlight w:val="none"/>
          <w:lang w:val="en-US" w:eastAsia="zh-CN"/>
        </w:rPr>
        <w:t>开</w:t>
      </w:r>
      <w:r>
        <w:rPr>
          <w:rFonts w:hint="default" w:ascii="宋体" w:hAnsi="宋体"/>
          <w:color w:val="auto"/>
          <w:highlight w:val="none"/>
          <w:lang w:eastAsia="zh-CN"/>
        </w:rPr>
        <w:t>通火车。新昆楚大、临清等高速</w:t>
      </w:r>
      <w:r>
        <w:rPr>
          <w:rFonts w:hint="eastAsia" w:ascii="宋体" w:hAnsi="宋体"/>
          <w:color w:val="auto"/>
          <w:highlight w:val="none"/>
          <w:lang w:val="en-US" w:eastAsia="zh-CN"/>
        </w:rPr>
        <w:t>公路</w:t>
      </w:r>
      <w:r>
        <w:rPr>
          <w:rFonts w:hint="default" w:ascii="宋体" w:hAnsi="宋体"/>
          <w:color w:val="auto"/>
          <w:highlight w:val="none"/>
          <w:lang w:eastAsia="zh-CN"/>
        </w:rPr>
        <w:t>建成通车，实现</w:t>
      </w:r>
      <w:r>
        <w:rPr>
          <w:rFonts w:hint="eastAsia" w:ascii="宋体" w:hAnsi="宋体" w:eastAsia="方正仿宋_GBK" w:cs="方正仿宋_GBK"/>
          <w:color w:val="auto"/>
          <w:highlight w:val="none"/>
          <w:lang w:eastAsia="zh-CN"/>
        </w:rPr>
        <w:t>“五出境”</w:t>
      </w:r>
      <w:r>
        <w:rPr>
          <w:rFonts w:hint="default" w:ascii="宋体" w:hAnsi="宋体"/>
          <w:color w:val="auto"/>
          <w:highlight w:val="none"/>
          <w:lang w:eastAsia="zh-CN"/>
        </w:rPr>
        <w:t>云南段全程高速化，全省高速通车里程突破1万公里</w:t>
      </w:r>
      <w:r>
        <w:rPr>
          <w:rFonts w:hint="eastAsia" w:ascii="宋体" w:hAnsi="宋体"/>
          <w:color w:val="auto"/>
          <w:highlight w:val="none"/>
          <w:lang w:eastAsia="zh-CN"/>
        </w:rPr>
        <w:t>，</w:t>
      </w:r>
      <w:r>
        <w:rPr>
          <w:rFonts w:hint="default" w:ascii="宋体" w:hAnsi="宋体"/>
          <w:color w:val="auto"/>
          <w:highlight w:val="none"/>
          <w:lang w:eastAsia="zh-CN"/>
        </w:rPr>
        <w:t>居全国第2位。全省运营运输机场达15个</w:t>
      </w:r>
      <w:r>
        <w:rPr>
          <w:rFonts w:hint="eastAsia" w:ascii="宋体" w:hAnsi="宋体"/>
          <w:color w:val="auto"/>
          <w:highlight w:val="none"/>
          <w:lang w:eastAsia="zh-CN"/>
        </w:rPr>
        <w:t>，</w:t>
      </w:r>
      <w:r>
        <w:rPr>
          <w:rFonts w:hint="default" w:ascii="宋体" w:hAnsi="宋体"/>
          <w:color w:val="auto"/>
          <w:highlight w:val="none"/>
          <w:lang w:eastAsia="zh-CN"/>
        </w:rPr>
        <w:t>居全国第4位。</w:t>
      </w:r>
      <w:r>
        <w:rPr>
          <w:rFonts w:hint="default" w:ascii="宋体" w:hAnsi="宋体" w:cs="Times New Roman"/>
          <w:color w:val="auto"/>
          <w:highlight w:val="none"/>
          <w:u w:val="none"/>
          <w:lang w:eastAsia="zh-CN"/>
        </w:rPr>
        <w:t>水富港公铁水</w:t>
      </w:r>
      <w:r>
        <w:rPr>
          <w:rFonts w:hint="eastAsia" w:ascii="宋体" w:hAnsi="宋体" w:cs="Times New Roman"/>
          <w:color w:val="auto"/>
          <w:highlight w:val="none"/>
          <w:u w:val="none"/>
          <w:lang w:eastAsia="zh-CN"/>
        </w:rPr>
        <w:t>“</w:t>
      </w:r>
      <w:r>
        <w:rPr>
          <w:rFonts w:hint="default" w:ascii="宋体" w:hAnsi="宋体" w:cs="Times New Roman"/>
          <w:color w:val="auto"/>
          <w:highlight w:val="none"/>
          <w:u w:val="none"/>
          <w:lang w:eastAsia="zh-CN"/>
        </w:rPr>
        <w:t>多式联运</w:t>
      </w:r>
      <w:r>
        <w:rPr>
          <w:rFonts w:hint="eastAsia" w:ascii="宋体" w:hAnsi="宋体" w:cs="Times New Roman"/>
          <w:color w:val="auto"/>
          <w:highlight w:val="none"/>
          <w:u w:val="none"/>
          <w:lang w:eastAsia="zh-CN"/>
        </w:rPr>
        <w:t>”</w:t>
      </w:r>
      <w:r>
        <w:rPr>
          <w:rFonts w:hint="default" w:ascii="宋体" w:hAnsi="宋体" w:cs="Times New Roman"/>
          <w:color w:val="auto"/>
          <w:highlight w:val="none"/>
          <w:u w:val="none"/>
          <w:lang w:eastAsia="zh-CN"/>
        </w:rPr>
        <w:t>体系建设有序推进，</w:t>
      </w:r>
      <w:r>
        <w:rPr>
          <w:rFonts w:hint="default" w:ascii="宋体" w:hAnsi="宋体"/>
          <w:color w:val="auto"/>
          <w:highlight w:val="none"/>
          <w:lang w:eastAsia="zh-CN"/>
        </w:rPr>
        <w:t>内河航运加快提档升级。</w:t>
      </w:r>
    </w:p>
    <w:p w14:paraId="7C05A10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highlight w:val="none"/>
          <w:lang w:eastAsia="zh-CN"/>
        </w:rPr>
      </w:pPr>
      <w:r>
        <w:rPr>
          <w:rFonts w:hint="default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有序</w:t>
      </w:r>
      <w:r>
        <w:rPr>
          <w:rFonts w:hint="eastAsia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统筹</w:t>
      </w:r>
      <w:r>
        <w:rPr>
          <w:rFonts w:hint="default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能源矿产资源开发</w:t>
      </w:r>
      <w:r>
        <w:rPr>
          <w:rFonts w:hint="eastAsia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需求</w:t>
      </w:r>
      <w:r>
        <w:rPr>
          <w:rFonts w:hint="default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宋体" w:hAnsi="宋体"/>
          <w:color w:val="auto"/>
          <w:highlight w:val="none"/>
          <w:lang w:eastAsia="zh-CN"/>
        </w:rPr>
        <w:t>乌东德、白鹤滩</w:t>
      </w:r>
      <w:r>
        <w:rPr>
          <w:rFonts w:hint="eastAsia" w:ascii="宋体" w:hAnsi="宋体"/>
          <w:color w:val="auto"/>
          <w:highlight w:val="none"/>
          <w:lang w:val="en-US" w:eastAsia="zh-CN"/>
        </w:rPr>
        <w:t>水电站</w:t>
      </w:r>
      <w:r>
        <w:rPr>
          <w:rFonts w:hint="default" w:ascii="宋体" w:hAnsi="宋体"/>
          <w:color w:val="auto"/>
          <w:highlight w:val="none"/>
          <w:lang w:eastAsia="zh-CN"/>
        </w:rPr>
        <w:t>等</w:t>
      </w:r>
      <w:r>
        <w:rPr>
          <w:rFonts w:hint="eastAsia" w:ascii="宋体" w:hAnsi="宋体" w:eastAsia="方正仿宋_GBK" w:cs="方正仿宋_GBK"/>
          <w:color w:val="auto"/>
          <w:highlight w:val="none"/>
          <w:lang w:eastAsia="zh-CN"/>
        </w:rPr>
        <w:t>“大国重器”</w:t>
      </w:r>
      <w:r>
        <w:rPr>
          <w:rFonts w:hint="default" w:ascii="宋体" w:hAnsi="宋体"/>
          <w:color w:val="auto"/>
          <w:highlight w:val="none"/>
          <w:lang w:eastAsia="zh-CN"/>
        </w:rPr>
        <w:t>落地投产，国家清洁能源基地基本建成。抽水蓄能项目布局落地，新型储能产业实现跨越式发展。</w:t>
      </w:r>
      <w:r>
        <w:rPr>
          <w:rFonts w:hint="default" w:ascii="宋体" w:hAnsi="宋体"/>
          <w:color w:val="auto"/>
          <w:highlight w:val="none"/>
          <w:lang w:val="en-US" w:eastAsia="zh-CN"/>
        </w:rPr>
        <w:t>继</w:t>
      </w:r>
      <w:r>
        <w:rPr>
          <w:rFonts w:ascii="宋体" w:hAnsi="宋体" w:eastAsia="方正仿宋_GBK" w:cstheme="minorBidi"/>
          <w:i w:val="0"/>
          <w:iCs w:val="0"/>
          <w:caps w:val="0"/>
          <w:color w:val="auto"/>
          <w:spacing w:val="0"/>
          <w:sz w:val="32"/>
          <w:szCs w:val="24"/>
          <w:highlight w:val="none"/>
          <w:shd w:val="clear" w:fill="auto"/>
        </w:rPr>
        <w:t>中缅油气管道后，第二条跨省天然气管道（百色—文山）开工建设</w:t>
      </w:r>
      <w:r>
        <w:rPr>
          <w:rFonts w:hint="default" w:ascii="宋体" w:hAnsi="宋体"/>
          <w:color w:val="auto"/>
          <w:highlight w:val="none"/>
          <w:lang w:eastAsia="zh-CN"/>
        </w:rPr>
        <w:t>，能源保障体系更加安全多元。新一轮找矿突破战略行动取得重大成果，全省重要矿产资源供给与储备水平全面提升。</w:t>
      </w:r>
    </w:p>
    <w:p w14:paraId="5B482C3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分类保障重大水利基础设施落地空间。</w:t>
      </w:r>
      <w:r>
        <w:rPr>
          <w:rFonts w:hint="default" w:ascii="宋体" w:hAnsi="宋体"/>
          <w:color w:val="auto"/>
          <w:highlight w:val="none"/>
          <w:lang w:val="en-US" w:eastAsia="zh-CN"/>
        </w:rPr>
        <w:t>滇中引水工程等重大水利骨干工程空间需求全力保障，德厚、阿岗、车马碧等重点水库</w:t>
      </w:r>
      <w:r>
        <w:rPr>
          <w:rFonts w:hint="eastAsia" w:ascii="宋体" w:hAnsi="宋体"/>
          <w:color w:val="auto"/>
          <w:highlight w:val="none"/>
          <w:lang w:val="en-US" w:eastAsia="zh-CN"/>
        </w:rPr>
        <w:t>建成</w:t>
      </w:r>
      <w:r>
        <w:rPr>
          <w:rFonts w:hint="default" w:ascii="宋体" w:hAnsi="宋体"/>
          <w:color w:val="auto"/>
          <w:highlight w:val="none"/>
          <w:lang w:val="en-US" w:eastAsia="zh-CN"/>
        </w:rPr>
        <w:t>落地，大中小型灌区新建改造项目用地需求统筹保障，为高原特色农业稳定发展和城乡用水安全提供了有力支撑。</w:t>
      </w:r>
    </w:p>
    <w:p w14:paraId="37D8EB6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highlight w:val="none"/>
          <w:lang w:val="en-US" w:eastAsia="zh-CN"/>
        </w:rPr>
      </w:pPr>
      <w:r>
        <w:rPr>
          <w:rFonts w:hint="default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有效预留新型数字基建落地布局空间。</w:t>
      </w:r>
      <w:r>
        <w:rPr>
          <w:rFonts w:hint="default" w:ascii="宋体" w:hAnsi="宋体"/>
          <w:color w:val="auto"/>
          <w:highlight w:val="none"/>
          <w:lang w:val="en-US" w:eastAsia="zh-CN"/>
        </w:rPr>
        <w:t>全省行政村5G网络通达率达100%，补齐山区、沿边地区数字基础设施短板。昆明国际通信业务出入口局等标杆项目落地，面向南亚东南亚的国际数字通信通道加快打通，数字云南发展底座更加坚实。</w:t>
      </w:r>
    </w:p>
    <w:p w14:paraId="30C07195">
      <w:pPr>
        <w:pStyle w:val="4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ind w:firstLineChars="200"/>
        <w:textAlignment w:val="auto"/>
        <w:rPr>
          <w:rFonts w:hint="eastAsia" w:ascii="宋体" w:hAnsi="宋体" w:cs="Times New Roman"/>
          <w:color w:val="auto"/>
          <w:highlight w:val="none"/>
          <w:lang w:val="en-US" w:eastAsia="zh-CN"/>
        </w:rPr>
      </w:pP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6</w:t>
      </w:r>
      <w:r>
        <w:rPr>
          <w:rFonts w:hint="eastAsia" w:ascii="宋体" w:hAnsi="宋体" w:cs="Times New Roman"/>
          <w:color w:val="auto"/>
          <w:highlight w:val="none"/>
          <w:lang w:val="en-US" w:eastAsia="zh-CN"/>
        </w:rPr>
        <w:t>.国土空间规划体系实现系统性重构</w:t>
      </w:r>
    </w:p>
    <w:p w14:paraId="7A7101D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“四级三类”规划成果基本完成</w:t>
      </w:r>
      <w:r>
        <w:rPr>
          <w:rFonts w:hint="default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eastAsia" w:ascii="宋体" w:hAnsi="宋体"/>
          <w:color w:val="auto"/>
          <w:highlight w:val="none"/>
          <w:lang w:val="en-US" w:eastAsia="zh-CN"/>
        </w:rPr>
        <w:t>省市县</w:t>
      </w:r>
      <w:r>
        <w:rPr>
          <w:rFonts w:hint="default" w:ascii="宋体" w:hAnsi="宋体"/>
          <w:color w:val="auto"/>
          <w:highlight w:val="none"/>
          <w:lang w:val="en-US" w:eastAsia="zh-CN"/>
        </w:rPr>
        <w:t>国土空间总体规划全部获批实施，滇中城市群、沿边城镇带</w:t>
      </w:r>
      <w:r>
        <w:rPr>
          <w:rFonts w:hint="eastAsia" w:ascii="宋体" w:hAnsi="宋体"/>
          <w:color w:val="auto"/>
          <w:highlight w:val="none"/>
          <w:lang w:val="en-US" w:eastAsia="zh-CN"/>
        </w:rPr>
        <w:t>、</w:t>
      </w:r>
      <w:r>
        <w:rPr>
          <w:rFonts w:hint="default" w:ascii="宋体" w:hAnsi="宋体"/>
          <w:color w:val="auto"/>
          <w:highlight w:val="none"/>
          <w:lang w:val="en-US" w:eastAsia="zh-CN"/>
        </w:rPr>
        <w:t>赤水河流域、重点坝区、高原湖泊流域</w:t>
      </w:r>
      <w:r>
        <w:rPr>
          <w:rFonts w:hint="eastAsia" w:ascii="宋体" w:hAnsi="宋体"/>
          <w:color w:val="auto"/>
          <w:highlight w:val="none"/>
          <w:lang w:val="en-US" w:eastAsia="zh-CN"/>
        </w:rPr>
        <w:t>等</w:t>
      </w:r>
      <w:r>
        <w:rPr>
          <w:rFonts w:hint="default" w:ascii="宋体" w:hAnsi="宋体"/>
          <w:color w:val="auto"/>
          <w:highlight w:val="none"/>
          <w:lang w:val="en-US" w:eastAsia="zh-CN"/>
        </w:rPr>
        <w:t>专项规划</w:t>
      </w:r>
      <w:r>
        <w:rPr>
          <w:rFonts w:hint="eastAsia" w:ascii="宋体" w:hAnsi="宋体"/>
          <w:color w:val="auto"/>
          <w:highlight w:val="none"/>
          <w:lang w:val="en-US" w:eastAsia="zh-CN"/>
        </w:rPr>
        <w:t>批复实施</w:t>
      </w:r>
      <w:r>
        <w:rPr>
          <w:rFonts w:hint="default" w:ascii="宋体" w:hAnsi="宋体"/>
          <w:color w:val="auto"/>
          <w:highlight w:val="none"/>
          <w:lang w:val="en-US" w:eastAsia="zh-CN"/>
        </w:rPr>
        <w:t>。</w:t>
      </w:r>
      <w:r>
        <w:rPr>
          <w:rFonts w:hint="eastAsia" w:ascii="宋体" w:hAnsi="宋体"/>
          <w:color w:val="auto"/>
          <w:highlight w:val="none"/>
          <w:lang w:val="en-US" w:eastAsia="zh-CN"/>
        </w:rPr>
        <w:t>按照“急用先编”原则有序推进城镇开发边界内详细规划编制。</w:t>
      </w:r>
      <w:r>
        <w:rPr>
          <w:rFonts w:hint="default" w:ascii="宋体" w:hAnsi="宋体"/>
          <w:color w:val="auto"/>
          <w:highlight w:val="none"/>
          <w:lang w:val="en-US" w:eastAsia="zh-CN"/>
        </w:rPr>
        <w:t>全国首创的</w:t>
      </w:r>
      <w:r>
        <w:rPr>
          <w:rFonts w:hint="eastAsia" w:ascii="宋体" w:hAnsi="宋体" w:eastAsia="方正仿宋_GBK" w:cs="方正仿宋_GBK"/>
          <w:color w:val="auto"/>
          <w:highlight w:val="none"/>
          <w:lang w:val="en-US" w:eastAsia="zh-CN"/>
        </w:rPr>
        <w:t>“干部规划家乡行动”圆</w:t>
      </w:r>
      <w:r>
        <w:rPr>
          <w:rFonts w:hint="default" w:ascii="宋体" w:hAnsi="宋体"/>
          <w:color w:val="auto"/>
          <w:highlight w:val="none"/>
          <w:lang w:val="en-US" w:eastAsia="zh-CN"/>
        </w:rPr>
        <w:t>满完成，村庄规划更接地气、更具特色、更重实效。</w:t>
      </w:r>
    </w:p>
    <w:p w14:paraId="5EB2EF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3" w:firstLineChars="200"/>
        <w:textAlignment w:val="auto"/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 w:cs="Times New Roman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规划实施管理体系持续完善。</w:t>
      </w:r>
      <w:r>
        <w:rPr>
          <w:rFonts w:hint="eastAsia" w:ascii="宋体" w:hAnsi="宋体"/>
          <w:color w:val="auto"/>
          <w:highlight w:val="none"/>
          <w:lang w:val="en-US" w:eastAsia="zh-CN"/>
        </w:rPr>
        <w:t>规范规划编制、修改、审查、审批要求，建立规划编制审批体系。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全面修订《云南省土地管理条例》，制定主体功能区、规划许可等系列政策文件，法规政策体系日趋健全。出台2项地方标准和36项技术指南，覆盖规划全流程的技术标准体系基本建成。启用国家、省、市、县四级国土空间用途管制与监管系统</w:t>
      </w: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，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完成村庄规划自动体检、口岸功能区监测预警等6类实施监测评估功能建设</w:t>
      </w: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，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CSPON试点建设取得阶段性成果</w:t>
      </w: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；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上线</w:t>
      </w:r>
      <w:r>
        <w:rPr>
          <w:rFonts w:hint="eastAsia" w:ascii="宋体" w:hAnsi="宋体" w:eastAsia="方正仿宋_GBK" w:cs="方正仿宋_GBK"/>
          <w:b w:val="0"/>
          <w:bCs w:val="0"/>
          <w:color w:val="auto"/>
          <w:highlight w:val="none"/>
          <w:lang w:val="en-US" w:eastAsia="zh-CN"/>
        </w:rPr>
        <w:t>“一张图”公众版，向社会公众提供“三区三线”查询服务</w:t>
      </w:r>
      <w:r>
        <w:rPr>
          <w:rFonts w:hint="eastAsia" w:ascii="宋体" w:hAnsi="宋体" w:cs="方正仿宋_GBK"/>
          <w:b w:val="0"/>
          <w:bCs w:val="0"/>
          <w:color w:val="auto"/>
          <w:highlight w:val="none"/>
          <w:lang w:val="en-US" w:eastAsia="zh-CN"/>
        </w:rPr>
        <w:t>，</w:t>
      </w: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实施监督体系</w:t>
      </w:r>
      <w:r>
        <w:rPr>
          <w:rFonts w:hint="eastAsia" w:ascii="宋体" w:hAnsi="宋体"/>
          <w:b w:val="0"/>
          <w:bCs w:val="0"/>
          <w:color w:val="auto"/>
          <w:lang w:val="en-US" w:eastAsia="zh-CN"/>
        </w:rPr>
        <w:t>落地运行。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实现规划编制、汇交、审查、实施等各环节</w:t>
      </w:r>
      <w:r>
        <w:rPr>
          <w:rFonts w:hint="default" w:ascii="宋体" w:hAnsi="宋体" w:eastAsia="方正仿宋_GBK" w:cs="方正仿宋_GBK"/>
          <w:b w:val="0"/>
          <w:bCs w:val="0"/>
          <w:color w:val="auto"/>
          <w:highlight w:val="none"/>
          <w:lang w:val="en-US" w:eastAsia="zh-CN"/>
        </w:rPr>
        <w:t>在“一张图”中</w:t>
      </w:r>
      <w:r>
        <w:rPr>
          <w:rFonts w:hint="default" w:ascii="宋体" w:hAnsi="宋体"/>
          <w:b w:val="0"/>
          <w:bCs w:val="0"/>
          <w:color w:val="auto"/>
          <w:highlight w:val="none"/>
          <w:lang w:val="en-US" w:eastAsia="zh-CN"/>
        </w:rPr>
        <w:t>全生命周期管理</w:t>
      </w:r>
      <w:r>
        <w:rPr>
          <w:rFonts w:hint="eastAsia" w:ascii="宋体" w:hAnsi="宋体"/>
          <w:b w:val="0"/>
          <w:bCs w:val="0"/>
          <w:color w:val="auto"/>
          <w:highlight w:val="none"/>
          <w:lang w:val="en-US" w:eastAsia="zh-CN"/>
        </w:rPr>
        <w:t>。</w:t>
      </w:r>
    </w:p>
    <w:p w14:paraId="4ECDBFF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/>
          <w:color w:val="auto"/>
          <w:highlight w:val="none"/>
          <w:lang w:val="en-US" w:eastAsia="zh-CN"/>
        </w:rPr>
      </w:pPr>
      <w:r>
        <w:rPr>
          <w:rFonts w:hint="eastAsia" w:ascii="宋体" w:hAnsi="宋体"/>
          <w:b/>
          <w:bCs/>
          <w:color w:val="auto"/>
          <w:highlight w:val="none"/>
          <w:lang w:val="en-US" w:eastAsia="zh-CN"/>
        </w:rPr>
        <w:t>规划行业和专业人才队伍不断壮大。</w:t>
      </w:r>
      <w:r>
        <w:rPr>
          <w:rFonts w:hint="default" w:ascii="宋体" w:hAnsi="宋体"/>
          <w:color w:val="auto"/>
          <w:highlight w:val="none"/>
          <w:lang w:val="en-US" w:eastAsia="zh-CN"/>
        </w:rPr>
        <w:t>全省甲级城乡规划编制单位</w:t>
      </w:r>
      <w:r>
        <w:rPr>
          <w:rFonts w:hint="eastAsia" w:ascii="宋体" w:hAnsi="宋体"/>
          <w:color w:val="auto"/>
          <w:highlight w:val="none"/>
          <w:lang w:val="en-US" w:eastAsia="zh-CN"/>
        </w:rPr>
        <w:t>较</w:t>
      </w:r>
      <w:r>
        <w:rPr>
          <w:rFonts w:hint="default" w:ascii="宋体" w:hAnsi="宋体"/>
          <w:color w:val="auto"/>
          <w:highlight w:val="none"/>
          <w:lang w:val="en-US" w:eastAsia="zh-CN"/>
        </w:rPr>
        <w:t>机构改革前</w:t>
      </w:r>
      <w:r>
        <w:rPr>
          <w:rFonts w:hint="eastAsia" w:ascii="宋体" w:hAnsi="宋体"/>
          <w:color w:val="auto"/>
          <w:highlight w:val="none"/>
          <w:lang w:val="en-US" w:eastAsia="zh-CN"/>
        </w:rPr>
        <w:t>增加10余家</w:t>
      </w:r>
      <w:r>
        <w:rPr>
          <w:rFonts w:hint="default" w:ascii="宋体" w:hAnsi="宋体"/>
          <w:color w:val="auto"/>
          <w:highlight w:val="none"/>
          <w:lang w:val="en-US" w:eastAsia="zh-CN"/>
        </w:rPr>
        <w:t>，乙级编制单位增至86家。成立国土空间规划学会，提高行业学术水平和队伍整体素质</w:t>
      </w:r>
      <w:r>
        <w:rPr>
          <w:rFonts w:hint="eastAsia" w:ascii="宋体" w:hAnsi="宋体"/>
          <w:color w:val="auto"/>
          <w:highlight w:val="none"/>
          <w:lang w:val="en-US" w:eastAsia="zh-CN"/>
        </w:rPr>
        <w:t>。</w:t>
      </w:r>
      <w:r>
        <w:rPr>
          <w:rFonts w:hint="default" w:ascii="宋体" w:hAnsi="宋体"/>
          <w:color w:val="auto"/>
          <w:highlight w:val="none"/>
          <w:lang w:val="en-US" w:eastAsia="zh-CN"/>
        </w:rPr>
        <w:t>新设国土空间规划工程技术职称</w:t>
      </w:r>
      <w:r>
        <w:rPr>
          <w:rFonts w:hint="eastAsia" w:ascii="宋体" w:hAnsi="宋体"/>
          <w:color w:val="auto"/>
          <w:highlight w:val="none"/>
          <w:lang w:val="en-US" w:eastAsia="zh-CN"/>
        </w:rPr>
        <w:t>系列</w:t>
      </w:r>
      <w:r>
        <w:rPr>
          <w:rFonts w:hint="default" w:ascii="宋体" w:hAnsi="宋体"/>
          <w:color w:val="auto"/>
          <w:highlight w:val="none"/>
          <w:lang w:val="en-US" w:eastAsia="zh-CN"/>
        </w:rPr>
        <w:t>，省级共评定160</w:t>
      </w:r>
      <w:r>
        <w:rPr>
          <w:rFonts w:hint="eastAsia" w:ascii="宋体" w:hAnsi="宋体"/>
          <w:color w:val="auto"/>
          <w:highlight w:val="none"/>
          <w:lang w:val="en-US" w:eastAsia="zh-CN"/>
        </w:rPr>
        <w:t>0余</w:t>
      </w:r>
      <w:r>
        <w:rPr>
          <w:rFonts w:hint="default" w:ascii="宋体" w:hAnsi="宋体"/>
          <w:color w:val="auto"/>
          <w:highlight w:val="none"/>
          <w:lang w:val="en-US" w:eastAsia="zh-CN"/>
        </w:rPr>
        <w:t>名专业技术人员，为规划事业长远发展提供了有力的人才支撑。</w:t>
      </w:r>
    </w:p>
    <w:p w14:paraId="7042311F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 w:ascii="宋体" w:hAnsi="宋体"/>
          <w:color w:val="auto"/>
          <w:highlight w:val="none"/>
          <w:lang w:val="en-US" w:eastAsia="zh-CN"/>
        </w:rPr>
      </w:pPr>
      <w:bookmarkStart w:id="74" w:name="_Toc12006"/>
      <w:bookmarkStart w:id="75" w:name="_Toc7763"/>
      <w:bookmarkStart w:id="76" w:name="_Toc18708"/>
      <w:bookmarkStart w:id="77" w:name="_Toc17801"/>
      <w:bookmarkStart w:id="78" w:name="_Toc4151"/>
      <w:r>
        <w:rPr>
          <w:rFonts w:hint="default" w:ascii="宋体" w:hAnsi="宋体"/>
          <w:strike w:val="0"/>
          <w:dstrike w:val="0"/>
          <w:color w:val="auto"/>
          <w:highlight w:val="none"/>
          <w:lang w:val="en-US" w:eastAsia="zh-CN"/>
        </w:rPr>
        <w:t>（二）</w:t>
      </w:r>
      <w:r>
        <w:rPr>
          <w:rFonts w:hint="default" w:ascii="宋体" w:hAnsi="宋体"/>
          <w:color w:val="auto"/>
          <w:highlight w:val="none"/>
          <w:lang w:val="en-US" w:eastAsia="zh-CN"/>
        </w:rPr>
        <w:t>问题和</w:t>
      </w:r>
      <w:r>
        <w:rPr>
          <w:rFonts w:hint="eastAsia" w:ascii="宋体" w:hAnsi="宋体"/>
          <w:color w:val="auto"/>
          <w:highlight w:val="none"/>
          <w:lang w:val="en-US" w:eastAsia="zh-CN"/>
        </w:rPr>
        <w:t>维护</w:t>
      </w:r>
      <w:bookmarkEnd w:id="41"/>
      <w:bookmarkEnd w:id="42"/>
      <w:bookmarkEnd w:id="43"/>
      <w:bookmarkEnd w:id="44"/>
      <w:bookmarkEnd w:id="45"/>
      <w:bookmarkEnd w:id="46"/>
      <w:bookmarkEnd w:id="47"/>
      <w:r>
        <w:rPr>
          <w:rFonts w:hint="eastAsia" w:ascii="宋体" w:hAnsi="宋体"/>
          <w:color w:val="auto"/>
          <w:highlight w:val="none"/>
          <w:lang w:val="en-US" w:eastAsia="zh-CN"/>
        </w:rPr>
        <w:t>建议</w:t>
      </w:r>
      <w:bookmarkEnd w:id="74"/>
      <w:bookmarkEnd w:id="75"/>
      <w:bookmarkEnd w:id="76"/>
      <w:bookmarkEnd w:id="77"/>
      <w:bookmarkEnd w:id="78"/>
    </w:p>
    <w:p w14:paraId="47A7D17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eastAsia="Segoe UI" w:cs="Segoe UI"/>
          <w:bCs/>
          <w:i w:val="0"/>
          <w:iCs w:val="0"/>
          <w:caps w:val="0"/>
          <w:color w:val="auto"/>
          <w:spacing w:val="0"/>
          <w:sz w:val="24"/>
          <w:szCs w:val="24"/>
          <w:highlight w:val="none"/>
        </w:rPr>
      </w:pPr>
      <w:r>
        <w:rPr>
          <w:rFonts w:hint="eastAsia" w:ascii="宋体" w:hAnsi="宋体" w:cs="方正仿宋_GBK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eastAsia" w:ascii="宋体" w:hAnsi="宋体" w:eastAsia="方正仿宋_GBK" w:cs="方正仿宋_GBK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十五五”新</w:t>
      </w:r>
      <w:r>
        <w:rPr>
          <w:rFonts w:hint="default" w:ascii="宋体" w:hAnsi="宋体" w:eastAsia="方正仿宋_GBK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形势对国土空间开发保护提出新要求</w:t>
      </w:r>
      <w:r>
        <w:rPr>
          <w:rFonts w:hint="eastAsia" w:ascii="宋体" w:hAnsi="宋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宋体" w:hAnsi="宋体" w:eastAsia="方正仿宋_GBK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国土空间布局</w:t>
      </w:r>
      <w:r>
        <w:rPr>
          <w:rFonts w:hint="eastAsia" w:ascii="宋体" w:hAnsi="宋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需局部调整以适应</w:t>
      </w:r>
      <w:r>
        <w:rPr>
          <w:rFonts w:hint="default" w:ascii="宋体" w:hAnsi="宋体" w:eastAsia="方正仿宋_GBK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发展需求</w:t>
      </w:r>
      <w:r>
        <w:rPr>
          <w:rFonts w:hint="eastAsia" w:ascii="宋体" w:hAnsi="宋体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，“三区三线”布局有待进一步优化，重点建设项目清单需增补和细化完善。</w:t>
      </w:r>
    </w:p>
    <w:p w14:paraId="7081A27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jc w:val="left"/>
        <w:textAlignment w:val="auto"/>
        <w:rPr>
          <w:rFonts w:hint="default" w:ascii="宋体" w:hAnsi="宋体" w:eastAsia="方正仿宋_GBK" w:cstheme="minorBidi"/>
          <w:bCs/>
          <w:color w:val="auto"/>
          <w:kern w:val="2"/>
          <w:sz w:val="32"/>
          <w:szCs w:val="24"/>
          <w:highlight w:val="none"/>
          <w:lang w:val="en-US" w:eastAsia="zh-CN" w:bidi="ar"/>
        </w:rPr>
      </w:pPr>
      <w:r>
        <w:rPr>
          <w:rFonts w:hint="default" w:ascii="宋体" w:hAnsi="宋体" w:eastAsia="方正仿宋_GBK" w:cstheme="minorBidi"/>
          <w:bCs/>
          <w:color w:val="auto"/>
          <w:kern w:val="2"/>
          <w:sz w:val="32"/>
          <w:szCs w:val="24"/>
          <w:highlight w:val="none"/>
          <w:lang w:val="en-US" w:eastAsia="zh-CN" w:bidi="ar"/>
        </w:rPr>
        <w:t>主动对接发展改革、交通运输、水利、能源等部门，系统梳</w:t>
      </w:r>
      <w:r>
        <w:rPr>
          <w:rFonts w:hint="eastAsia" w:ascii="宋体" w:hAnsi="宋体" w:eastAsia="方正仿宋_GBK" w:cs="方正仿宋_GBK"/>
          <w:bCs/>
          <w:color w:val="auto"/>
          <w:kern w:val="2"/>
          <w:sz w:val="32"/>
          <w:szCs w:val="24"/>
          <w:highlight w:val="none"/>
          <w:lang w:val="en-US" w:eastAsia="zh-CN" w:bidi="ar"/>
        </w:rPr>
        <w:t>理“十五五”重大项目空间需求，将交通、水利、能源、信息通信等领域重点项目纳入清</w:t>
      </w:r>
      <w:r>
        <w:rPr>
          <w:rFonts w:hint="default" w:ascii="宋体" w:hAnsi="宋体" w:eastAsia="方正仿宋_GBK" w:cstheme="minorBidi"/>
          <w:color w:val="auto"/>
          <w:kern w:val="2"/>
          <w:sz w:val="32"/>
          <w:szCs w:val="24"/>
          <w:highlight w:val="none"/>
          <w:lang w:val="en-US" w:eastAsia="zh-CN" w:bidi="ar"/>
        </w:rPr>
        <w:t>单统筹保障</w:t>
      </w:r>
      <w:r>
        <w:rPr>
          <w:rFonts w:hint="default" w:ascii="宋体" w:hAnsi="宋体" w:cstheme="minorBidi"/>
          <w:color w:val="auto"/>
          <w:kern w:val="2"/>
          <w:sz w:val="32"/>
          <w:szCs w:val="24"/>
          <w:highlight w:val="none"/>
          <w:lang w:val="en-US" w:eastAsia="zh-CN" w:bidi="ar"/>
        </w:rPr>
        <w:t>。</w:t>
      </w:r>
      <w:r>
        <w:rPr>
          <w:rFonts w:hint="default" w:ascii="宋体" w:hAnsi="宋体" w:eastAsia="方正仿宋_GBK" w:cstheme="minorBidi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t>正向优化三条控制线</w:t>
      </w:r>
      <w:r>
        <w:rPr>
          <w:rFonts w:hint="default" w:ascii="宋体" w:hAnsi="宋体" w:cstheme="minorBidi"/>
          <w:b w:val="0"/>
          <w:color w:val="auto"/>
          <w:kern w:val="2"/>
          <w:sz w:val="32"/>
          <w:szCs w:val="24"/>
          <w:highlight w:val="none"/>
          <w:lang w:val="en-US" w:eastAsia="zh-CN" w:bidi="ar-SA"/>
        </w:rPr>
        <w:t>，统筹优化各类空间布局，</w:t>
      </w:r>
      <w:r>
        <w:rPr>
          <w:rFonts w:hint="default" w:ascii="宋体" w:hAnsi="宋体"/>
          <w:color w:val="auto"/>
          <w:highlight w:val="none"/>
          <w:lang w:val="en-US" w:eastAsia="zh-CN"/>
        </w:rPr>
        <w:t>持续</w:t>
      </w:r>
      <w:r>
        <w:rPr>
          <w:rFonts w:hint="default" w:ascii="宋体" w:hAnsi="宋体"/>
          <w:bCs/>
          <w:color w:val="auto"/>
          <w:highlight w:val="none"/>
          <w:lang w:val="en-US" w:eastAsia="zh-CN"/>
        </w:rPr>
        <w:t>提升空间治理</w:t>
      </w:r>
      <w:r>
        <w:rPr>
          <w:rFonts w:hint="eastAsia" w:ascii="宋体" w:hAnsi="宋体"/>
          <w:bCs/>
          <w:color w:val="auto"/>
          <w:highlight w:val="none"/>
          <w:lang w:val="en-US" w:eastAsia="zh-CN"/>
        </w:rPr>
        <w:t>能力和</w:t>
      </w:r>
      <w:r>
        <w:rPr>
          <w:rFonts w:hint="default" w:ascii="宋体" w:hAnsi="宋体"/>
          <w:bCs/>
          <w:color w:val="auto"/>
          <w:highlight w:val="none"/>
          <w:lang w:val="en-US" w:eastAsia="zh-CN"/>
        </w:rPr>
        <w:t>水平。</w:t>
      </w:r>
    </w:p>
    <w:p w14:paraId="01B445A5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/>
        <w:jc w:val="left"/>
        <w:textAlignment w:val="auto"/>
        <w:rPr>
          <w:rFonts w:hint="default" w:ascii="宋体" w:hAnsi="宋体"/>
          <w:color w:val="auto"/>
          <w:highlight w:val="none"/>
        </w:rPr>
      </w:pPr>
      <w:bookmarkStart w:id="79" w:name="_Toc208"/>
      <w:bookmarkStart w:id="80" w:name="_Toc31452"/>
      <w:bookmarkStart w:id="81" w:name="_Toc30135"/>
      <w:bookmarkStart w:id="82" w:name="_Toc1841"/>
      <w:bookmarkStart w:id="83" w:name="_Toc22730"/>
      <w:bookmarkStart w:id="84" w:name="_Toc17069"/>
      <w:bookmarkStart w:id="85" w:name="_Toc17896"/>
      <w:bookmarkStart w:id="86" w:name="_Toc18259"/>
      <w:bookmarkStart w:id="87" w:name="_Toc20545"/>
      <w:bookmarkStart w:id="88" w:name="_Toc21146"/>
      <w:bookmarkStart w:id="89" w:name="_Toc9238"/>
      <w:bookmarkStart w:id="90" w:name="_Toc24348"/>
      <w:bookmarkStart w:id="91" w:name="_Toc1244"/>
      <w:r>
        <w:rPr>
          <w:rFonts w:hint="default" w:ascii="宋体" w:hAnsi="宋体" w:eastAsia="黑体" w:cs="Times New Roman"/>
          <w:b w:val="0"/>
          <w:bCs/>
          <w:color w:val="auto"/>
          <w:szCs w:val="36"/>
          <w:highlight w:val="none"/>
          <w:u w:val="none"/>
        </w:rPr>
        <w:t>二、动态维护内容</w:t>
      </w:r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310799D6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rPr>
          <w:rFonts w:hint="default" w:ascii="宋体" w:hAnsi="宋体"/>
          <w:color w:val="auto"/>
          <w:highlight w:val="none"/>
          <w:lang w:val="en-US" w:eastAsia="zh-CN"/>
        </w:rPr>
      </w:pPr>
      <w:bookmarkStart w:id="92" w:name="_Toc15431"/>
      <w:bookmarkStart w:id="93" w:name="_Toc19823"/>
      <w:bookmarkStart w:id="94" w:name="_Toc27632"/>
      <w:bookmarkStart w:id="95" w:name="_Toc16891"/>
      <w:bookmarkStart w:id="96" w:name="_Toc9554"/>
      <w:bookmarkStart w:id="97" w:name="_Toc5085"/>
      <w:bookmarkStart w:id="98" w:name="_Toc2442"/>
      <w:bookmarkStart w:id="99" w:name="_Toc22771"/>
      <w:bookmarkStart w:id="100" w:name="_Toc11764"/>
      <w:bookmarkStart w:id="101" w:name="_Toc5367"/>
      <w:bookmarkStart w:id="102" w:name="_Toc5025"/>
      <w:bookmarkStart w:id="103" w:name="_Toc15188"/>
      <w:r>
        <w:rPr>
          <w:rFonts w:hint="default" w:ascii="宋体" w:hAnsi="宋体"/>
          <w:color w:val="auto"/>
          <w:highlight w:val="none"/>
          <w:lang w:val="en-US" w:eastAsia="zh-CN"/>
        </w:rPr>
        <w:t>（</w:t>
      </w:r>
      <w:r>
        <w:rPr>
          <w:rFonts w:hint="eastAsia" w:ascii="宋体" w:hAnsi="宋体"/>
          <w:color w:val="auto"/>
          <w:highlight w:val="none"/>
          <w:lang w:val="en-US" w:eastAsia="zh-CN"/>
        </w:rPr>
        <w:t>一</w:t>
      </w:r>
      <w:r>
        <w:rPr>
          <w:rFonts w:hint="default" w:ascii="宋体" w:hAnsi="宋体"/>
          <w:color w:val="auto"/>
          <w:highlight w:val="none"/>
          <w:lang w:val="en-US" w:eastAsia="zh-CN"/>
        </w:rPr>
        <w:t>）对接</w:t>
      </w:r>
      <w:r>
        <w:rPr>
          <w:rFonts w:hint="eastAsia" w:ascii="宋体" w:hAnsi="宋体"/>
          <w:color w:val="auto"/>
          <w:highlight w:val="none"/>
          <w:lang w:val="en-US" w:eastAsia="zh-CN"/>
        </w:rPr>
        <w:t>“十五五”</w:t>
      </w:r>
      <w:r>
        <w:rPr>
          <w:rFonts w:hint="default" w:ascii="宋体" w:hAnsi="宋体"/>
          <w:color w:val="auto"/>
          <w:highlight w:val="none"/>
          <w:lang w:val="en-US" w:eastAsia="zh-CN"/>
        </w:rPr>
        <w:t>需求分类保障重大项目落地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</w:p>
    <w:p w14:paraId="45EFEAC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</w:pPr>
      <w:r>
        <w:rPr>
          <w:rFonts w:hint="default" w:ascii="宋体" w:hAnsi="宋体" w:eastAsia="方正仿宋_GBK" w:cs="方正仿宋_GBK"/>
          <w:b/>
          <w:color w:val="auto"/>
          <w:kern w:val="2"/>
          <w:szCs w:val="32"/>
          <w:highlight w:val="none"/>
          <w:lang w:val="en-US" w:eastAsia="zh-CN" w:bidi="ar-SA"/>
        </w:rPr>
        <w:t>畅通路网，让出行更便捷</w:t>
      </w:r>
      <w:r>
        <w:rPr>
          <w:rFonts w:hint="eastAsia" w:ascii="宋体" w:hAnsi="宋体" w:eastAsia="方正仿宋_GBK" w:cs="方正仿宋_GBK"/>
          <w:b/>
          <w:color w:val="auto"/>
          <w:kern w:val="2"/>
          <w:szCs w:val="32"/>
          <w:highlight w:val="none"/>
          <w:lang w:val="en-US" w:eastAsia="zh-CN" w:bidi="ar-SA"/>
        </w:rPr>
        <w:t>。</w:t>
      </w:r>
      <w:r>
        <w:rPr>
          <w:rFonts w:hint="eastAsia" w:ascii="宋体" w:hAnsi="宋体" w:eastAsia="方正仿宋_GBK" w:cs="方正仿宋_GBK"/>
          <w:b w:val="0"/>
          <w:bCs w:val="0"/>
          <w:color w:val="auto"/>
          <w:highlight w:val="none"/>
          <w:u w:val="none"/>
          <w:lang w:val="en-US" w:eastAsia="zh-CN"/>
        </w:rPr>
        <w:t>围绕铁路“补网提速”、公路“提质贯通”、水运“通江达海”、航空“枢纽扩容”，将渝昆高铁云</w:t>
      </w:r>
      <w:r>
        <w:rPr>
          <w:rFonts w:hint="default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  <w:t>南段、西南沿边铁路</w:t>
      </w:r>
      <w:r>
        <w:rPr>
          <w:rFonts w:hint="eastAsia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  <w:t>、</w:t>
      </w:r>
      <w:r>
        <w:rPr>
          <w:rFonts w:hint="default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  <w:t>昆明长水国际机场改扩建等项目在规划中锁定，保障关键通道。</w:t>
      </w:r>
    </w:p>
    <w:p w14:paraId="7A3C403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</w:pPr>
      <w:r>
        <w:rPr>
          <w:rFonts w:hint="default" w:ascii="宋体" w:hAnsi="宋体" w:eastAsia="方正仿宋_GBK" w:cs="方正仿宋_GBK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筑网强储，让供电更可靠</w:t>
      </w:r>
      <w:r>
        <w:rPr>
          <w:rFonts w:hint="eastAsia" w:ascii="宋体" w:hAnsi="宋体" w:eastAsia="方正仿宋_GBK" w:cs="方正仿宋_GBK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  <w:t>聚焦绿色能源强省建设，将金沙江、澜沧江</w:t>
      </w:r>
      <w:r>
        <w:rPr>
          <w:rFonts w:hint="eastAsia" w:ascii="宋体" w:hAnsi="宋体" w:cs="方正仿宋_GBK"/>
          <w:b w:val="0"/>
          <w:bCs w:val="0"/>
          <w:color w:val="auto"/>
          <w:highlight w:val="none"/>
          <w:u w:val="none"/>
          <w:lang w:val="en-US" w:eastAsia="zh-CN"/>
        </w:rPr>
        <w:t>等</w:t>
      </w:r>
      <w:r>
        <w:rPr>
          <w:rFonts w:hint="default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  <w:t>清洁能源基地、</w:t>
      </w:r>
      <w:r>
        <w:rPr>
          <w:rFonts w:hint="eastAsia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  <w:t>重大</w:t>
      </w:r>
      <w:r>
        <w:rPr>
          <w:rFonts w:hint="default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  <w:t>抽水蓄能电站、省际油气管道纳入保障，确保绿色电能送得出、用得稳。</w:t>
      </w:r>
    </w:p>
    <w:p w14:paraId="61CE212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</w:pPr>
      <w:r>
        <w:rPr>
          <w:rFonts w:hint="default" w:ascii="宋体" w:hAnsi="宋体" w:eastAsia="方正仿宋_GBK" w:cs="方正仿宋_GBK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引水润田，让灌溉更安心</w:t>
      </w:r>
      <w:r>
        <w:rPr>
          <w:rFonts w:hint="eastAsia" w:ascii="宋体" w:hAnsi="宋体" w:eastAsia="方正仿宋_GBK" w:cs="方正仿宋_GBK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  <w:t>围绕水网建设和高原特色农业发展，将滇中引水工程等重大引调水及大型水库建设，重点灌区新建改造，以及九大高原湖泊生态治理等项目纳入清单，让水更畅、田更润、湖更清。</w:t>
      </w:r>
    </w:p>
    <w:p w14:paraId="1295233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</w:pPr>
      <w:bookmarkStart w:id="104" w:name="_Toc11651"/>
      <w:bookmarkStart w:id="105" w:name="_Toc15532"/>
      <w:r>
        <w:rPr>
          <w:rFonts w:hint="default" w:ascii="宋体" w:hAnsi="宋体" w:eastAsia="方正仿宋_GBK" w:cs="方正仿宋_GBK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网络覆盖，让沟通更畅通</w:t>
      </w:r>
      <w:r>
        <w:rPr>
          <w:rFonts w:hint="eastAsia" w:ascii="宋体" w:hAnsi="宋体" w:eastAsia="方正仿宋_GBK" w:cs="方正仿宋_GBK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宋体" w:hAnsi="宋体" w:cs="Times New Roman"/>
          <w:b w:val="0"/>
          <w:bCs w:val="0"/>
          <w:color w:val="auto"/>
          <w:highlight w:val="none"/>
          <w:u w:val="none"/>
          <w:lang w:val="en-US" w:eastAsia="zh-CN"/>
        </w:rPr>
        <w:t>将5G网络全域覆盖、国际通信出入口局扩容、智算中心等项目纳入清单，助力信息高速网越织越密。</w:t>
      </w:r>
    </w:p>
    <w:p w14:paraId="6CB78C9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highlight w:val="none"/>
          <w:lang w:val="en-US" w:eastAsia="zh-CN"/>
        </w:rPr>
      </w:pPr>
      <w:r>
        <w:rPr>
          <w:rFonts w:hint="default" w:ascii="宋体" w:hAnsi="宋体" w:eastAsia="方正仿宋_GBK" w:cs="方正仿宋_GBK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守护安全，让城乡更安宁</w:t>
      </w:r>
      <w:r>
        <w:rPr>
          <w:rFonts w:hint="eastAsia" w:ascii="宋体" w:hAnsi="宋体" w:eastAsia="方正仿宋_GBK" w:cs="方正仿宋_GBK"/>
          <w:b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宋体" w:hAnsi="宋体"/>
          <w:color w:val="auto"/>
          <w:highlight w:val="none"/>
          <w:lang w:val="en-US" w:eastAsia="zh-CN"/>
        </w:rPr>
        <w:t>将城市防洪排涝提升、应急物资储备基地、国防公路等项目建设纳入保障，让城乡更安全、群众更安心。</w:t>
      </w:r>
    </w:p>
    <w:bookmarkEnd w:id="104"/>
    <w:bookmarkEnd w:id="105"/>
    <w:p w14:paraId="125C034A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/>
        <w:textAlignment w:val="auto"/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</w:pPr>
      <w:bookmarkStart w:id="106" w:name="_Toc27176"/>
      <w:bookmarkStart w:id="107" w:name="_Toc24391"/>
      <w:bookmarkStart w:id="108" w:name="_Toc7329"/>
      <w:bookmarkStart w:id="109" w:name="_Toc9403"/>
      <w:bookmarkStart w:id="110" w:name="_Toc14404"/>
      <w:bookmarkStart w:id="111" w:name="_Toc30774"/>
      <w:bookmarkStart w:id="112" w:name="_Toc16751"/>
      <w:bookmarkStart w:id="113" w:name="_Toc32361"/>
      <w:bookmarkStart w:id="114" w:name="_Toc20694"/>
      <w:bookmarkStart w:id="115" w:name="_Toc24488"/>
      <w:bookmarkStart w:id="116" w:name="_Toc25239"/>
      <w:bookmarkStart w:id="117" w:name="_Toc14556"/>
      <w:bookmarkStart w:id="118" w:name="_Toc18879"/>
      <w:bookmarkStart w:id="119" w:name="_Toc11570"/>
      <w:bookmarkStart w:id="120" w:name="_Toc23338"/>
      <w:bookmarkStart w:id="121" w:name="_Toc6311"/>
      <w:bookmarkStart w:id="122" w:name="_Toc5990"/>
      <w:bookmarkStart w:id="123" w:name="_Toc25981"/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（二）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正向优化三条控制线</w:t>
      </w:r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14:paraId="09F9AF1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宋体" w:hAnsi="宋体"/>
          <w:color w:val="auto"/>
          <w:lang w:val="en-US" w:eastAsia="zh-CN"/>
        </w:rPr>
      </w:pPr>
      <w:r>
        <w:rPr>
          <w:rFonts w:hint="eastAsia" w:ascii="宋体" w:hAnsi="宋体"/>
          <w:color w:val="auto"/>
          <w:lang w:val="en-US" w:eastAsia="zh-CN"/>
        </w:rPr>
        <w:t>按照国家正向优化标准，结合云南实际，指导各州（市）、县（市、区）开展三条控制线正向优化，实现永久基本农田总体稳定、质量有提升、布局更优化，生态保护红线总体稳定、边界更清晰、功能有提升，城镇开发边界总量不突破、布局更集聚、城市功能品质有提升。</w:t>
      </w:r>
    </w:p>
    <w:bookmarkEnd w:id="48"/>
    <w:bookmarkEnd w:id="123"/>
    <w:p w14:paraId="0C7B7BB2">
      <w:pPr>
        <w:pStyle w:val="2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200"/>
        <w:textAlignment w:val="auto"/>
        <w:outlineLvl w:val="1"/>
        <w:rPr>
          <w:rFonts w:ascii="宋体" w:hAnsi="宋体"/>
          <w:color w:val="auto"/>
          <w:highlight w:val="none"/>
        </w:rPr>
      </w:pPr>
      <w:bookmarkStart w:id="124" w:name="_Toc26704"/>
      <w:bookmarkStart w:id="125" w:name="_Toc9998"/>
      <w:bookmarkStart w:id="126" w:name="_Toc23307"/>
      <w:bookmarkStart w:id="127" w:name="_Toc12153"/>
      <w:bookmarkStart w:id="128" w:name="_Toc2877"/>
      <w:bookmarkStart w:id="129" w:name="_Toc3506"/>
      <w:bookmarkStart w:id="130" w:name="_Toc9532"/>
      <w:bookmarkStart w:id="131" w:name="_Toc17882"/>
      <w:bookmarkStart w:id="132" w:name="_Toc32523"/>
      <w:bookmarkStart w:id="133" w:name="_Toc8145"/>
      <w:bookmarkStart w:id="134" w:name="_Toc25530"/>
      <w:bookmarkStart w:id="135" w:name="_Toc7592"/>
      <w:bookmarkStart w:id="136" w:name="_Toc13092"/>
      <w:bookmarkStart w:id="137" w:name="_Toc5915"/>
      <w:bookmarkStart w:id="138" w:name="_Toc6284"/>
      <w:bookmarkStart w:id="139" w:name="_Toc24807"/>
      <w:bookmarkStart w:id="140" w:name="_Toc3761"/>
      <w:r>
        <w:rPr>
          <w:rFonts w:hint="eastAsia" w:ascii="宋体" w:hAnsi="宋体"/>
          <w:color w:val="auto"/>
          <w:highlight w:val="none"/>
          <w:lang w:val="en-US" w:eastAsia="zh-CN"/>
        </w:rPr>
        <w:t>（三）多维度优化国土空间布局</w:t>
      </w:r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14:paraId="78D1CFDB">
      <w:pPr>
        <w:keepNext w:val="0"/>
        <w:keepLines w:val="0"/>
        <w:widowControl w:val="0"/>
        <w:rPr>
          <w:rFonts w:hint="eastAsia" w:ascii="宋体" w:hAnsi="宋体" w:eastAsia="方正仿宋_GBK" w:cs="方正仿宋_GBK"/>
          <w:color w:val="auto"/>
          <w:sz w:val="32"/>
          <w:szCs w:val="32"/>
        </w:rPr>
      </w:pPr>
      <w:r>
        <w:rPr>
          <w:rFonts w:hint="eastAsia" w:ascii="宋体" w:hAnsi="宋体"/>
          <w:color w:val="auto"/>
          <w:highlight w:val="none"/>
          <w:lang w:val="en-US" w:eastAsia="zh-CN"/>
        </w:rPr>
        <w:t>结合三条控制线优化，围绕“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乡镇主体功能、规划分区、</w:t>
      </w:r>
      <w:r>
        <w:rPr>
          <w:rFonts w:hint="eastAsia" w:ascii="宋体" w:hAnsi="宋体" w:cs="方正仿宋_GBK"/>
          <w:color w:val="auto"/>
          <w:sz w:val="32"/>
          <w:szCs w:val="32"/>
          <w:lang w:val="en-US" w:eastAsia="zh-CN"/>
        </w:rPr>
        <w:t>全域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用地</w:t>
      </w:r>
      <w:r>
        <w:rPr>
          <w:rFonts w:hint="eastAsia" w:ascii="宋体" w:hAnsi="宋体" w:cs="方正仿宋_GBK"/>
          <w:color w:val="auto"/>
          <w:sz w:val="32"/>
          <w:szCs w:val="32"/>
          <w:lang w:val="en-US" w:eastAsia="zh-CN"/>
        </w:rPr>
        <w:t>规划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布局、</w:t>
      </w:r>
      <w:r>
        <w:rPr>
          <w:rFonts w:hint="eastAsia" w:ascii="宋体" w:hAnsi="宋体" w:cs="方正仿宋_GBK"/>
          <w:color w:val="auto"/>
          <w:sz w:val="32"/>
          <w:szCs w:val="32"/>
          <w:lang w:val="en-US" w:eastAsia="zh-CN"/>
        </w:rPr>
        <w:t>中心城区用地规划布局、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城市四线、</w:t>
      </w:r>
      <w:r>
        <w:rPr>
          <w:rFonts w:hint="eastAsia" w:ascii="宋体" w:hAnsi="宋体" w:cs="方正仿宋_GBK"/>
          <w:color w:val="auto"/>
          <w:sz w:val="32"/>
          <w:szCs w:val="32"/>
          <w:lang w:val="en-US" w:eastAsia="zh-CN"/>
        </w:rPr>
        <w:t>其他重要控制线、详细规划编制单元、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专项规划目录清单</w:t>
      </w:r>
      <w:r>
        <w:rPr>
          <w:rFonts w:hint="eastAsia" w:ascii="宋体" w:hAnsi="宋体"/>
          <w:color w:val="auto"/>
          <w:highlight w:val="none"/>
          <w:lang w:val="en-US" w:eastAsia="zh-CN"/>
        </w:rPr>
        <w:t>”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等</w:t>
      </w:r>
      <w:r>
        <w:rPr>
          <w:rFonts w:hint="eastAsia" w:ascii="宋体" w:hAnsi="宋体" w:cs="方正仿宋_GBK"/>
          <w:color w:val="auto"/>
          <w:sz w:val="32"/>
          <w:szCs w:val="32"/>
          <w:lang w:val="en-US" w:eastAsia="zh-CN"/>
        </w:rPr>
        <w:t>八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项内容</w:t>
      </w:r>
      <w:r>
        <w:rPr>
          <w:rFonts w:hint="eastAsia" w:ascii="宋体" w:hAnsi="宋体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/>
          <w:color w:val="auto"/>
          <w:lang w:val="en-US" w:eastAsia="zh-CN"/>
        </w:rPr>
        <w:t>明确正向优化的规则和要求</w:t>
      </w:r>
      <w:r>
        <w:rPr>
          <w:rFonts w:hint="eastAsia" w:ascii="宋体" w:hAnsi="宋体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宋体" w:hAnsi="宋体"/>
          <w:color w:val="auto"/>
          <w:lang w:val="en-US" w:eastAsia="zh-CN"/>
        </w:rPr>
        <w:t>指导各州（市）、县（市、区）开展正向优化</w:t>
      </w:r>
      <w:r>
        <w:rPr>
          <w:rFonts w:hint="eastAsia" w:ascii="宋体" w:hAnsi="宋体" w:eastAsia="方正仿宋_GBK" w:cs="方正仿宋_GBK"/>
          <w:color w:val="auto"/>
          <w:sz w:val="32"/>
          <w:szCs w:val="32"/>
        </w:rPr>
        <w:t>。</w:t>
      </w:r>
      <w:bookmarkStart w:id="141" w:name="_Toc19870"/>
    </w:p>
    <w:p w14:paraId="62BD4884">
      <w:pPr>
        <w:pStyle w:val="3"/>
        <w:bidi w:val="0"/>
        <w:rPr>
          <w:rFonts w:hint="default" w:ascii="宋体" w:hAnsi="宋体"/>
          <w:color w:val="auto"/>
          <w:lang w:val="en-US" w:eastAsia="zh-CN"/>
        </w:rPr>
      </w:pPr>
      <w:bookmarkStart w:id="142" w:name="_Toc26734"/>
      <w:bookmarkStart w:id="143" w:name="_Toc3949"/>
      <w:bookmarkStart w:id="144" w:name="_Toc22678"/>
      <w:bookmarkStart w:id="145" w:name="_Toc6001"/>
      <w:bookmarkStart w:id="146" w:name="_Toc10359"/>
      <w:r>
        <w:rPr>
          <w:rFonts w:hint="eastAsia" w:ascii="宋体" w:hAnsi="宋体"/>
          <w:color w:val="auto"/>
          <w:lang w:val="en-US" w:eastAsia="zh-CN"/>
        </w:rPr>
        <w:t>三、</w:t>
      </w:r>
      <w:r>
        <w:rPr>
          <w:rFonts w:hint="default" w:ascii="宋体" w:hAnsi="宋体"/>
          <w:color w:val="auto"/>
          <w:lang w:val="en-US" w:eastAsia="zh-CN"/>
        </w:rPr>
        <w:t>动态维护</w:t>
      </w:r>
      <w:r>
        <w:rPr>
          <w:rFonts w:hint="eastAsia" w:ascii="宋体" w:hAnsi="宋体"/>
          <w:color w:val="auto"/>
          <w:lang w:val="en-US" w:eastAsia="zh-CN"/>
        </w:rPr>
        <w:t>合理性</w:t>
      </w:r>
      <w:r>
        <w:rPr>
          <w:rFonts w:hint="default" w:ascii="宋体" w:hAnsi="宋体"/>
          <w:color w:val="auto"/>
          <w:lang w:val="en-US" w:eastAsia="zh-CN"/>
        </w:rPr>
        <w:t>分析</w:t>
      </w:r>
      <w:bookmarkEnd w:id="141"/>
      <w:bookmarkEnd w:id="142"/>
      <w:bookmarkEnd w:id="143"/>
      <w:bookmarkEnd w:id="144"/>
      <w:bookmarkEnd w:id="145"/>
      <w:bookmarkEnd w:id="146"/>
      <w:bookmarkStart w:id="147" w:name="_Toc23983"/>
    </w:p>
    <w:p w14:paraId="426EC63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jc w:val="left"/>
        <w:textAlignment w:val="auto"/>
        <w:rPr>
          <w:rFonts w:hint="eastAsia" w:ascii="宋体" w:hAnsi="宋体" w:cs="方正仿宋_GBK"/>
          <w:b w:val="0"/>
          <w:bCs w:val="0"/>
          <w:snapToGrid w:val="0"/>
          <w:color w:val="auto"/>
          <w:kern w:val="0"/>
          <w:sz w:val="32"/>
          <w:szCs w:val="21"/>
          <w:highlight w:val="none"/>
          <w:u w:val="none"/>
          <w:lang w:val="en-US" w:eastAsia="zh-CN" w:bidi="ar-SA"/>
        </w:rPr>
      </w:pPr>
      <w:r>
        <w:rPr>
          <w:rFonts w:hint="eastAsia" w:ascii="宋体" w:hAnsi="宋体" w:eastAsia="方正仿宋_GBK" w:cs="方正仿宋_GBK"/>
          <w:color w:val="auto"/>
          <w:szCs w:val="32"/>
        </w:rPr>
        <w:t>本次省级动态维护</w:t>
      </w:r>
      <w:r>
        <w:rPr>
          <w:rFonts w:hint="eastAsia" w:ascii="宋体" w:hAnsi="宋体" w:cs="方正仿宋_GBK"/>
          <w:snapToGrid w:val="0"/>
          <w:color w:val="auto"/>
          <w:kern w:val="0"/>
          <w:szCs w:val="21"/>
          <w:lang w:val="en-US" w:eastAsia="zh-CN"/>
        </w:rPr>
        <w:t>主要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Cs w:val="21"/>
        </w:rPr>
        <w:t>对重点建设项目清单及</w:t>
      </w:r>
      <w:r>
        <w:rPr>
          <w:rFonts w:hint="eastAsia" w:ascii="宋体" w:hAnsi="宋体" w:cs="方正仿宋_GBK"/>
          <w:snapToGrid w:val="0"/>
          <w:color w:val="auto"/>
          <w:kern w:val="0"/>
          <w:szCs w:val="21"/>
          <w:lang w:val="en-US" w:eastAsia="zh-CN"/>
        </w:rPr>
        <w:t>部分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Cs w:val="21"/>
        </w:rPr>
        <w:t>空间</w:t>
      </w:r>
      <w:r>
        <w:rPr>
          <w:rFonts w:hint="eastAsia" w:ascii="宋体" w:hAnsi="宋体" w:cs="方正仿宋_GBK"/>
          <w:snapToGrid w:val="0"/>
          <w:color w:val="auto"/>
          <w:kern w:val="0"/>
          <w:szCs w:val="21"/>
          <w:lang w:val="en-US" w:eastAsia="zh-CN"/>
        </w:rPr>
        <w:t>管控要求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Cs w:val="21"/>
        </w:rPr>
        <w:t>进行动态维护</w:t>
      </w:r>
      <w:r>
        <w:rPr>
          <w:rFonts w:hint="eastAsia" w:ascii="宋体" w:hAnsi="宋体" w:cs="方正仿宋_GBK"/>
          <w:snapToGrid w:val="0"/>
          <w:color w:val="auto"/>
          <w:kern w:val="0"/>
          <w:szCs w:val="21"/>
          <w:lang w:eastAsia="zh-CN"/>
        </w:rPr>
        <w:t>。</w:t>
      </w:r>
      <w:r>
        <w:rPr>
          <w:rFonts w:hint="eastAsia" w:ascii="宋体" w:hAnsi="宋体" w:eastAsia="方正仿宋_GBK" w:cs="方正仿宋_GBK"/>
          <w:b/>
          <w:snapToGrid w:val="0"/>
          <w:color w:val="auto"/>
          <w:kern w:val="0"/>
          <w:szCs w:val="21"/>
        </w:rPr>
        <w:t>一是</w:t>
      </w:r>
      <w:r>
        <w:rPr>
          <w:rFonts w:hint="eastAsia" w:ascii="宋体" w:hAnsi="宋体" w:cs="方正仿宋_GBK"/>
          <w:b w:val="0"/>
          <w:bCs/>
          <w:snapToGrid w:val="0"/>
          <w:color w:val="auto"/>
          <w:kern w:val="0"/>
          <w:szCs w:val="21"/>
          <w:lang w:val="en-US" w:eastAsia="zh-CN"/>
        </w:rPr>
        <w:t>牢牢守住</w:t>
      </w:r>
      <w:r>
        <w:rPr>
          <w:rFonts w:hint="eastAsia" w:ascii="宋体" w:hAnsi="宋体" w:eastAsia="方正仿宋_GBK" w:cs="方正仿宋_GBK"/>
          <w:color w:val="auto"/>
        </w:rPr>
        <w:t>国家</w:t>
      </w:r>
      <w:r>
        <w:rPr>
          <w:rFonts w:hint="eastAsia" w:ascii="宋体" w:hAnsi="宋体" w:cs="方正仿宋_GBK"/>
          <w:color w:val="auto"/>
          <w:lang w:val="en-US" w:eastAsia="zh-CN"/>
        </w:rPr>
        <w:t>下达的</w:t>
      </w:r>
      <w:r>
        <w:rPr>
          <w:rFonts w:hint="eastAsia" w:ascii="宋体" w:hAnsi="宋体" w:eastAsia="方正仿宋_GBK" w:cs="方正仿宋_GBK"/>
          <w:color w:val="auto"/>
        </w:rPr>
        <w:t>耕地保有量、永久基本农田保护面积</w:t>
      </w:r>
      <w:r>
        <w:rPr>
          <w:rFonts w:hint="eastAsia" w:ascii="宋体" w:hAnsi="宋体" w:cs="方正仿宋_GBK"/>
          <w:color w:val="auto"/>
          <w:lang w:eastAsia="zh-CN"/>
        </w:rPr>
        <w:t>、</w:t>
      </w:r>
      <w:r>
        <w:rPr>
          <w:rFonts w:hint="eastAsia" w:ascii="宋体" w:hAnsi="宋体" w:eastAsia="方正仿宋_GBK" w:cs="方正仿宋_GBK"/>
          <w:color w:val="auto"/>
        </w:rPr>
        <w:t>生态保护红线面积</w:t>
      </w:r>
      <w:r>
        <w:rPr>
          <w:rFonts w:hint="eastAsia" w:ascii="宋体" w:hAnsi="宋体" w:cs="方正仿宋_GBK"/>
          <w:color w:val="auto"/>
          <w:lang w:eastAsia="zh-CN"/>
        </w:rPr>
        <w:t>，</w:t>
      </w:r>
      <w:r>
        <w:rPr>
          <w:rFonts w:hint="eastAsia" w:ascii="宋体" w:hAnsi="宋体" w:cs="方正仿宋_GBK"/>
          <w:color w:val="auto"/>
          <w:lang w:val="en-US" w:eastAsia="zh-CN"/>
        </w:rPr>
        <w:t>未突破</w:t>
      </w:r>
      <w:r>
        <w:rPr>
          <w:rFonts w:hint="eastAsia" w:ascii="宋体" w:hAnsi="宋体" w:eastAsia="方正仿宋_GBK" w:cs="方正仿宋_GBK"/>
          <w:color w:val="auto"/>
        </w:rPr>
        <w:t>城镇开发边界扩展倍数，全省国土空间安全底线</w:t>
      </w:r>
      <w:r>
        <w:rPr>
          <w:rFonts w:hint="eastAsia" w:ascii="宋体" w:hAnsi="宋体" w:cs="方正仿宋_GBK"/>
          <w:color w:val="auto"/>
          <w:lang w:val="en-US" w:eastAsia="zh-CN"/>
        </w:rPr>
        <w:t>进一步夯实</w:t>
      </w:r>
      <w:r>
        <w:rPr>
          <w:rFonts w:hint="eastAsia" w:ascii="宋体" w:hAnsi="宋体" w:eastAsia="方正仿宋_GBK" w:cs="方正仿宋_GBK"/>
          <w:color w:val="auto"/>
        </w:rPr>
        <w:t>。</w:t>
      </w:r>
      <w:r>
        <w:rPr>
          <w:rFonts w:hint="eastAsia" w:ascii="宋体" w:hAnsi="宋体" w:eastAsia="方正仿宋_GBK" w:cs="方正仿宋_GBK"/>
          <w:b/>
          <w:color w:val="auto"/>
        </w:rPr>
        <w:t>二是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Cs w:val="21"/>
        </w:rPr>
        <w:t>全省总体空间格局基本稳定</w:t>
      </w:r>
      <w:r>
        <w:rPr>
          <w:rFonts w:hint="eastAsia" w:ascii="宋体" w:hAnsi="宋体" w:cs="方正仿宋_GBK"/>
          <w:snapToGrid w:val="0"/>
          <w:color w:val="auto"/>
          <w:kern w:val="0"/>
          <w:szCs w:val="21"/>
          <w:lang w:eastAsia="zh-CN"/>
        </w:rPr>
        <w:t>，</w:t>
      </w:r>
      <w:r>
        <w:rPr>
          <w:rFonts w:hint="eastAsia" w:ascii="宋体" w:hAnsi="宋体" w:eastAsia="方正仿宋_GBK" w:cs="方正仿宋_GBK"/>
          <w:color w:val="auto"/>
          <w:szCs w:val="32"/>
        </w:rPr>
        <w:t>在市县级动态维护工作中</w:t>
      </w:r>
      <w:r>
        <w:rPr>
          <w:rFonts w:hint="eastAsia" w:ascii="宋体" w:hAnsi="宋体" w:cs="方正仿宋_GBK"/>
          <w:color w:val="auto"/>
          <w:szCs w:val="32"/>
          <w:lang w:val="en-US" w:eastAsia="zh-CN"/>
        </w:rPr>
        <w:t>对</w:t>
      </w:r>
      <w:r>
        <w:rPr>
          <w:rFonts w:hint="eastAsia" w:ascii="宋体" w:hAnsi="宋体" w:eastAsia="方正仿宋_GBK" w:cs="方正仿宋_GBK"/>
          <w:color w:val="auto"/>
          <w:szCs w:val="32"/>
        </w:rPr>
        <w:t>三条控制线</w:t>
      </w:r>
      <w:r>
        <w:rPr>
          <w:rFonts w:hint="eastAsia" w:ascii="宋体" w:hAnsi="宋体" w:cs="方正仿宋_GBK"/>
          <w:color w:val="auto"/>
          <w:szCs w:val="32"/>
          <w:lang w:val="en-US" w:eastAsia="zh-CN"/>
        </w:rPr>
        <w:t>空间布局进行局部调整，实现正向</w:t>
      </w:r>
      <w:r>
        <w:rPr>
          <w:rFonts w:hint="eastAsia" w:ascii="宋体" w:hAnsi="宋体" w:eastAsia="方正仿宋_GBK" w:cs="方正仿宋_GBK"/>
          <w:color w:val="auto"/>
          <w:szCs w:val="32"/>
        </w:rPr>
        <w:t>优化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Cs w:val="21"/>
        </w:rPr>
        <w:t>。</w:t>
      </w:r>
      <w:r>
        <w:rPr>
          <w:rFonts w:hint="eastAsia" w:ascii="宋体" w:hAnsi="宋体" w:eastAsia="方正仿宋_GBK" w:cs="方正仿宋_GBK"/>
          <w:b/>
          <w:snapToGrid w:val="0"/>
          <w:color w:val="auto"/>
          <w:kern w:val="0"/>
          <w:szCs w:val="21"/>
        </w:rPr>
        <w:t>三是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Cs w:val="21"/>
        </w:rPr>
        <w:t>落实国家各部委及省级各部门的重大基础设施建设项目，保障重大项目用地，支撑服务经济社会高质量发展</w:t>
      </w:r>
      <w:r>
        <w:rPr>
          <w:rFonts w:hint="eastAsia" w:ascii="宋体" w:hAnsi="宋体" w:cs="方正仿宋_GBK"/>
          <w:snapToGrid w:val="0"/>
          <w:color w:val="auto"/>
          <w:kern w:val="0"/>
          <w:szCs w:val="21"/>
          <w:lang w:val="en-US" w:eastAsia="zh-CN"/>
        </w:rPr>
        <w:t>。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1"/>
          <w:lang w:val="en-US" w:eastAsia="zh-CN" w:bidi="ar"/>
        </w:rPr>
        <w:t>维护后的《规划》对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Cs w:val="21"/>
        </w:rPr>
        <w:t>国土空间</w:t>
      </w:r>
      <w:r>
        <w:rPr>
          <w:rFonts w:hint="eastAsia" w:ascii="宋体" w:hAnsi="宋体" w:cs="方正仿宋_GBK"/>
          <w:snapToGrid w:val="0"/>
          <w:color w:val="auto"/>
          <w:kern w:val="0"/>
          <w:szCs w:val="21"/>
          <w:lang w:val="en-US" w:eastAsia="zh-CN"/>
        </w:rPr>
        <w:t>开发保护利用总体格局、</w:t>
      </w:r>
      <w:r>
        <w:rPr>
          <w:rFonts w:hint="eastAsia" w:ascii="宋体" w:hAnsi="宋体" w:eastAsia="方正仿宋_GBK" w:cs="方正仿宋_GBK"/>
          <w:snapToGrid w:val="0"/>
          <w:color w:val="auto"/>
          <w:kern w:val="0"/>
          <w:sz w:val="32"/>
          <w:szCs w:val="21"/>
          <w:lang w:val="en-US" w:eastAsia="zh-CN" w:bidi="ar"/>
        </w:rPr>
        <w:t>全省经济社会发展的适应性和支撑性进一步增强</w:t>
      </w:r>
      <w:r>
        <w:rPr>
          <w:rFonts w:hint="eastAsia" w:ascii="宋体" w:hAnsi="宋体" w:cs="方正仿宋_GBK"/>
          <w:snapToGrid w:val="0"/>
          <w:color w:val="auto"/>
          <w:kern w:val="0"/>
          <w:sz w:val="32"/>
          <w:szCs w:val="21"/>
          <w:lang w:val="en-US" w:eastAsia="zh-CN" w:bidi="ar"/>
        </w:rPr>
        <w:t>。</w:t>
      </w:r>
    </w:p>
    <w:p w14:paraId="56C162FD"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200"/>
        <w:jc w:val="left"/>
        <w:textAlignment w:val="auto"/>
        <w:rPr>
          <w:rFonts w:hint="default" w:ascii="宋体" w:hAnsi="宋体" w:eastAsia="黑体" w:cs="Times New Roman"/>
          <w:b w:val="0"/>
          <w:bCs/>
          <w:color w:val="auto"/>
          <w:szCs w:val="36"/>
          <w:highlight w:val="none"/>
          <w:u w:val="none"/>
          <w:lang w:val="en-US" w:eastAsia="zh-CN"/>
        </w:rPr>
      </w:pPr>
      <w:bookmarkStart w:id="148" w:name="_Toc1926"/>
      <w:bookmarkStart w:id="149" w:name="_Toc9193"/>
      <w:bookmarkStart w:id="150" w:name="_Toc16510"/>
      <w:bookmarkStart w:id="151" w:name="_Toc18567"/>
      <w:bookmarkStart w:id="152" w:name="_Toc13726"/>
      <w:r>
        <w:rPr>
          <w:rFonts w:hint="default" w:ascii="宋体" w:hAnsi="宋体" w:eastAsia="黑体" w:cs="Times New Roman"/>
          <w:b w:val="0"/>
          <w:bCs/>
          <w:color w:val="auto"/>
          <w:szCs w:val="36"/>
          <w:highlight w:val="none"/>
          <w:u w:val="none"/>
          <w:lang w:val="en-US" w:eastAsia="zh-CN"/>
        </w:rPr>
        <w:t>四、实施保障</w:t>
      </w:r>
      <w:bookmarkEnd w:id="147"/>
      <w:bookmarkEnd w:id="148"/>
      <w:bookmarkEnd w:id="149"/>
      <w:bookmarkEnd w:id="150"/>
      <w:bookmarkEnd w:id="151"/>
      <w:bookmarkEnd w:id="152"/>
    </w:p>
    <w:p w14:paraId="08AC97F8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highlight w:val="none"/>
          <w:lang w:val="en-US" w:eastAsia="zh-CN"/>
        </w:rPr>
      </w:pPr>
      <w:bookmarkStart w:id="153" w:name="_Toc29529"/>
      <w:bookmarkStart w:id="154" w:name="_Toc31712"/>
      <w:bookmarkStart w:id="155" w:name="_Toc23887"/>
      <w:bookmarkStart w:id="156" w:name="_Toc17428"/>
      <w:bookmarkStart w:id="157" w:name="_Toc11601"/>
      <w:bookmarkStart w:id="158" w:name="_Toc12910"/>
      <w:r>
        <w:rPr>
          <w:rFonts w:hint="default" w:ascii="宋体" w:hAnsi="宋体"/>
          <w:color w:val="auto"/>
          <w:highlight w:val="none"/>
          <w:lang w:val="en-US" w:eastAsia="zh-CN"/>
        </w:rPr>
        <w:t>（</w:t>
      </w:r>
      <w:r>
        <w:rPr>
          <w:rFonts w:hint="eastAsia" w:ascii="宋体" w:hAnsi="宋体"/>
          <w:color w:val="auto"/>
          <w:highlight w:val="none"/>
          <w:lang w:val="en-US" w:eastAsia="zh-CN"/>
        </w:rPr>
        <w:t>一</w:t>
      </w:r>
      <w:r>
        <w:rPr>
          <w:rFonts w:hint="default" w:ascii="宋体" w:hAnsi="宋体"/>
          <w:color w:val="auto"/>
          <w:highlight w:val="none"/>
          <w:lang w:val="en-US" w:eastAsia="zh-CN"/>
        </w:rPr>
        <w:t>）</w:t>
      </w:r>
      <w:r>
        <w:rPr>
          <w:rFonts w:hint="eastAsia" w:ascii="宋体" w:hAnsi="宋体"/>
          <w:color w:val="auto"/>
          <w:highlight w:val="none"/>
          <w:lang w:val="en-US" w:eastAsia="zh-CN"/>
        </w:rPr>
        <w:t>进一步健全</w:t>
      </w:r>
      <w:r>
        <w:rPr>
          <w:rFonts w:hint="default" w:ascii="宋体" w:hAnsi="宋体"/>
          <w:color w:val="auto"/>
          <w:highlight w:val="none"/>
          <w:lang w:val="en-US" w:eastAsia="zh-CN"/>
        </w:rPr>
        <w:t>规划动态调整</w:t>
      </w:r>
      <w:r>
        <w:rPr>
          <w:rFonts w:hint="eastAsia" w:ascii="宋体" w:hAnsi="宋体"/>
          <w:color w:val="auto"/>
          <w:highlight w:val="none"/>
          <w:lang w:val="en-US" w:eastAsia="zh-CN"/>
        </w:rPr>
        <w:t>完善</w:t>
      </w:r>
      <w:r>
        <w:rPr>
          <w:rFonts w:hint="default" w:ascii="宋体" w:hAnsi="宋体"/>
          <w:color w:val="auto"/>
          <w:highlight w:val="none"/>
          <w:lang w:val="en-US" w:eastAsia="zh-CN"/>
        </w:rPr>
        <w:t>机制</w:t>
      </w:r>
      <w:bookmarkEnd w:id="153"/>
      <w:bookmarkEnd w:id="154"/>
      <w:bookmarkEnd w:id="155"/>
      <w:bookmarkEnd w:id="156"/>
      <w:bookmarkEnd w:id="157"/>
      <w:bookmarkEnd w:id="158"/>
    </w:p>
    <w:p w14:paraId="1DC89115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/>
          <w:color w:val="auto"/>
          <w:highlight w:val="none"/>
          <w:lang w:val="en-US" w:eastAsia="zh-CN"/>
        </w:rPr>
      </w:pPr>
      <w:r>
        <w:rPr>
          <w:rFonts w:ascii="宋体" w:hAnsi="宋体"/>
          <w:color w:val="auto"/>
          <w:lang w:val="en-US" w:eastAsia="zh-CN"/>
        </w:rPr>
        <w:t>省市县国土空间总体规划原则上</w:t>
      </w:r>
      <w:r>
        <w:rPr>
          <w:rFonts w:hint="eastAsia" w:ascii="宋体" w:hAnsi="宋体"/>
          <w:color w:val="auto"/>
          <w:lang w:val="en-US" w:eastAsia="zh-CN"/>
        </w:rPr>
        <w:t>应结合</w:t>
      </w:r>
      <w:r>
        <w:rPr>
          <w:rFonts w:ascii="宋体" w:hAnsi="宋体"/>
          <w:color w:val="auto"/>
          <w:lang w:val="en-US" w:eastAsia="zh-CN"/>
        </w:rPr>
        <w:t>体检评估</w:t>
      </w:r>
      <w:r>
        <w:rPr>
          <w:rFonts w:hint="eastAsia" w:ascii="宋体" w:hAnsi="宋体"/>
          <w:color w:val="auto"/>
          <w:lang w:val="en-US" w:eastAsia="zh-CN"/>
        </w:rPr>
        <w:t>，</w:t>
      </w:r>
      <w:r>
        <w:rPr>
          <w:rFonts w:ascii="宋体" w:hAnsi="宋体"/>
          <w:color w:val="auto"/>
          <w:lang w:val="en-US" w:eastAsia="zh-CN"/>
        </w:rPr>
        <w:t>常态化开展规划</w:t>
      </w:r>
      <w:r>
        <w:rPr>
          <w:rFonts w:hint="eastAsia" w:ascii="宋体" w:hAnsi="宋体"/>
          <w:color w:val="auto"/>
          <w:lang w:val="en-US" w:eastAsia="zh-CN"/>
        </w:rPr>
        <w:t>动态调整完善。</w:t>
      </w:r>
      <w:r>
        <w:rPr>
          <w:rFonts w:hint="default" w:ascii="宋体" w:hAnsi="宋体"/>
          <w:color w:val="auto"/>
          <w:highlight w:val="none"/>
          <w:lang w:val="en-US" w:eastAsia="zh-CN"/>
        </w:rPr>
        <w:t>建立城镇开发边界预留机动指标管理机制。加强动态</w:t>
      </w:r>
      <w:r>
        <w:rPr>
          <w:rFonts w:hint="eastAsia" w:ascii="宋体" w:hAnsi="宋体"/>
          <w:color w:val="auto"/>
          <w:highlight w:val="none"/>
          <w:lang w:val="en-US" w:eastAsia="zh-CN"/>
        </w:rPr>
        <w:t>调整完善成果</w:t>
      </w:r>
      <w:r>
        <w:rPr>
          <w:rFonts w:hint="default" w:ascii="宋体" w:hAnsi="宋体"/>
          <w:color w:val="auto"/>
          <w:highlight w:val="none"/>
          <w:lang w:val="en-US" w:eastAsia="zh-CN"/>
        </w:rPr>
        <w:t>编制、审批、实施等各环节全链条监管，确保调整有据、程序规范、执行到位。</w:t>
      </w:r>
    </w:p>
    <w:p w14:paraId="0BC45F46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</w:pPr>
      <w:bookmarkStart w:id="159" w:name="_Toc31315"/>
      <w:bookmarkStart w:id="160" w:name="_Toc11553"/>
      <w:bookmarkStart w:id="161" w:name="_Toc13035"/>
      <w:bookmarkStart w:id="162" w:name="_Toc30995"/>
      <w:bookmarkStart w:id="163" w:name="_Toc12463"/>
      <w:bookmarkStart w:id="164" w:name="_Toc29730"/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（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二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）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加强动态维护方案传导落实</w:t>
      </w:r>
      <w:bookmarkEnd w:id="159"/>
      <w:bookmarkEnd w:id="160"/>
      <w:bookmarkEnd w:id="161"/>
      <w:bookmarkEnd w:id="162"/>
      <w:bookmarkEnd w:id="163"/>
      <w:bookmarkEnd w:id="164"/>
    </w:p>
    <w:p w14:paraId="7EE70F3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宋体" w:hAnsi="宋体"/>
          <w:color w:val="auto"/>
          <w:highlight w:val="none"/>
          <w:lang w:val="en-US" w:eastAsia="zh-CN"/>
        </w:rPr>
      </w:pPr>
      <w:bookmarkStart w:id="165" w:name="_Toc26455"/>
      <w:r>
        <w:rPr>
          <w:rFonts w:hint="default" w:ascii="宋体" w:hAnsi="宋体"/>
          <w:color w:val="auto"/>
          <w:highlight w:val="none"/>
          <w:lang w:val="en-US" w:eastAsia="zh-CN"/>
        </w:rPr>
        <w:t>严格落实</w:t>
      </w:r>
      <w:r>
        <w:rPr>
          <w:rFonts w:hint="eastAsia" w:ascii="宋体" w:hAnsi="宋体"/>
          <w:color w:val="auto"/>
          <w:highlight w:val="none"/>
          <w:lang w:val="en-US" w:eastAsia="zh-CN"/>
        </w:rPr>
        <w:t>国土空间</w:t>
      </w:r>
      <w:r>
        <w:rPr>
          <w:rFonts w:hint="default" w:ascii="宋体" w:hAnsi="宋体"/>
          <w:color w:val="auto"/>
          <w:highlight w:val="none"/>
          <w:lang w:val="en-US" w:eastAsia="zh-CN"/>
        </w:rPr>
        <w:t>总体规划管控要求，将省级动态维护方案确定的重点建设项目清单</w:t>
      </w:r>
      <w:r>
        <w:rPr>
          <w:rFonts w:hint="eastAsia" w:ascii="宋体" w:hAnsi="宋体"/>
          <w:color w:val="auto"/>
          <w:highlight w:val="none"/>
          <w:lang w:val="en-US" w:eastAsia="zh-CN"/>
        </w:rPr>
        <w:t>、</w:t>
      </w:r>
      <w:r>
        <w:rPr>
          <w:rFonts w:hint="default" w:ascii="宋体" w:hAnsi="宋体"/>
          <w:color w:val="auto"/>
          <w:highlight w:val="none"/>
          <w:lang w:val="en-US" w:eastAsia="zh-CN"/>
        </w:rPr>
        <w:t>空间布局调整</w:t>
      </w:r>
      <w:r>
        <w:rPr>
          <w:rFonts w:hint="eastAsia" w:ascii="宋体" w:hAnsi="宋体"/>
          <w:color w:val="auto"/>
          <w:highlight w:val="none"/>
          <w:lang w:val="en-US" w:eastAsia="zh-CN"/>
        </w:rPr>
        <w:t>和三条控制线正向优化规则</w:t>
      </w:r>
      <w:r>
        <w:rPr>
          <w:rFonts w:hint="default" w:ascii="宋体" w:hAnsi="宋体"/>
          <w:color w:val="auto"/>
          <w:highlight w:val="none"/>
          <w:lang w:val="en-US" w:eastAsia="zh-CN"/>
        </w:rPr>
        <w:t>等核心内容</w:t>
      </w:r>
      <w:r>
        <w:rPr>
          <w:rFonts w:hint="eastAsia" w:ascii="宋体" w:hAnsi="宋体"/>
          <w:color w:val="auto"/>
          <w:highlight w:val="none"/>
          <w:lang w:val="en-US" w:eastAsia="zh-CN"/>
        </w:rPr>
        <w:t>，</w:t>
      </w:r>
      <w:r>
        <w:rPr>
          <w:rFonts w:hint="default" w:ascii="宋体" w:hAnsi="宋体"/>
          <w:color w:val="auto"/>
          <w:highlight w:val="none"/>
          <w:lang w:val="en-US" w:eastAsia="zh-CN"/>
        </w:rPr>
        <w:t>逐级有序向下传导。健全规划衔接</w:t>
      </w:r>
      <w:r>
        <w:rPr>
          <w:rFonts w:hint="eastAsia" w:ascii="宋体" w:hAnsi="宋体"/>
          <w:color w:val="auto"/>
          <w:highlight w:val="none"/>
          <w:lang w:val="en-US" w:eastAsia="zh-CN"/>
        </w:rPr>
        <w:t>协调</w:t>
      </w:r>
      <w:r>
        <w:rPr>
          <w:rFonts w:hint="default" w:ascii="宋体" w:hAnsi="宋体"/>
          <w:color w:val="auto"/>
          <w:highlight w:val="none"/>
          <w:lang w:val="en-US" w:eastAsia="zh-CN"/>
        </w:rPr>
        <w:t>机制，</w:t>
      </w:r>
      <w:r>
        <w:rPr>
          <w:rFonts w:hint="eastAsia" w:ascii="宋体" w:hAnsi="宋体"/>
          <w:color w:val="auto"/>
          <w:highlight w:val="none"/>
          <w:lang w:val="en-US" w:eastAsia="zh-CN"/>
        </w:rPr>
        <w:t>主动对接各部门重点项目空间需求，</w:t>
      </w:r>
      <w:r>
        <w:rPr>
          <w:rFonts w:hint="default" w:ascii="宋体" w:hAnsi="宋体"/>
          <w:color w:val="auto"/>
          <w:highlight w:val="none"/>
          <w:lang w:val="en-US" w:eastAsia="zh-CN"/>
        </w:rPr>
        <w:t>系统协调解决空间冲突矛盾，提升自然资源要素配置效率。</w:t>
      </w:r>
    </w:p>
    <w:p w14:paraId="772B58A8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</w:pPr>
      <w:bookmarkStart w:id="166" w:name="_Toc29883"/>
      <w:bookmarkStart w:id="167" w:name="_Toc21510"/>
      <w:bookmarkStart w:id="168" w:name="_Toc14749"/>
      <w:bookmarkStart w:id="169" w:name="_Toc32514"/>
      <w:bookmarkStart w:id="170" w:name="_Toc22479"/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（三）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强化“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一张图</w:t>
      </w:r>
      <w:r>
        <w:rPr>
          <w:rFonts w:hint="eastAsia" w:ascii="宋体" w:hAnsi="宋体" w:cs="Times New Roman"/>
          <w:color w:val="auto"/>
          <w:highlight w:val="none"/>
          <w:u w:val="none"/>
          <w:lang w:val="en-US" w:eastAsia="zh-CN"/>
        </w:rPr>
        <w:t>”</w:t>
      </w:r>
      <w:r>
        <w:rPr>
          <w:rFonts w:hint="default" w:ascii="宋体" w:hAnsi="宋体" w:cs="Times New Roman"/>
          <w:color w:val="auto"/>
          <w:highlight w:val="none"/>
          <w:u w:val="none"/>
          <w:lang w:val="en-US" w:eastAsia="zh-CN"/>
        </w:rPr>
        <w:t>全生命周期实施管理</w:t>
      </w:r>
      <w:bookmarkEnd w:id="165"/>
      <w:bookmarkEnd w:id="166"/>
      <w:bookmarkEnd w:id="167"/>
      <w:bookmarkEnd w:id="168"/>
      <w:bookmarkEnd w:id="169"/>
      <w:bookmarkEnd w:id="170"/>
    </w:p>
    <w:p w14:paraId="434BBEA8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/>
        <w:jc w:val="left"/>
        <w:textAlignment w:val="auto"/>
        <w:rPr>
          <w:rFonts w:hint="default" w:ascii="宋体" w:hAnsi="宋体"/>
          <w:color w:val="auto"/>
          <w:lang w:val="en-US" w:eastAsia="zh-CN"/>
        </w:rPr>
      </w:pPr>
      <w:r>
        <w:rPr>
          <w:rFonts w:hint="eastAsia" w:ascii="宋体" w:hAnsi="宋体"/>
          <w:color w:val="auto"/>
          <w:highlight w:val="none"/>
          <w:lang w:val="en-US" w:eastAsia="zh-CN"/>
        </w:rPr>
        <w:t>依托“一张图”，</w:t>
      </w:r>
      <w:r>
        <w:rPr>
          <w:rFonts w:hint="default" w:ascii="宋体" w:hAnsi="宋体"/>
          <w:color w:val="auto"/>
          <w:highlight w:val="none"/>
          <w:lang w:val="en-US" w:eastAsia="zh-CN"/>
        </w:rPr>
        <w:t>规范动态维护成果汇交、审查与入库</w:t>
      </w:r>
      <w:r>
        <w:rPr>
          <w:rFonts w:hint="eastAsia" w:ascii="宋体" w:hAnsi="宋体" w:eastAsia="方正仿宋_GBK" w:cs="方正仿宋_GBK"/>
          <w:color w:val="auto"/>
          <w:highlight w:val="none"/>
          <w:lang w:val="en-US" w:eastAsia="zh-CN"/>
        </w:rPr>
        <w:t>，</w:t>
      </w:r>
      <w:r>
        <w:rPr>
          <w:rFonts w:hint="eastAsia" w:ascii="宋体" w:hAnsi="宋体" w:cs="方正仿宋_GBK"/>
          <w:color w:val="auto"/>
          <w:highlight w:val="none"/>
          <w:lang w:val="en-US" w:eastAsia="zh-CN"/>
        </w:rPr>
        <w:t>加强</w:t>
      </w:r>
      <w:r>
        <w:rPr>
          <w:rFonts w:hint="eastAsia" w:ascii="宋体" w:hAnsi="宋体" w:eastAsia="方正仿宋_GBK" w:cs="方正仿宋_GBK"/>
          <w:color w:val="auto"/>
          <w:highlight w:val="none"/>
          <w:lang w:val="en-US" w:eastAsia="zh-CN"/>
        </w:rPr>
        <w:t>“三区三线”、城市“四线”等核心管控要素的动态管理，</w:t>
      </w:r>
      <w:r>
        <w:rPr>
          <w:rFonts w:hint="eastAsia" w:ascii="宋体" w:hAnsi="宋体"/>
          <w:color w:val="auto"/>
          <w:highlight w:val="none"/>
          <w:lang w:val="en-US" w:eastAsia="zh-CN"/>
        </w:rPr>
        <w:t>推进</w:t>
      </w:r>
      <w:r>
        <w:rPr>
          <w:rFonts w:hint="default" w:ascii="宋体" w:hAnsi="宋体"/>
          <w:color w:val="auto"/>
          <w:highlight w:val="none"/>
          <w:lang w:val="en-US" w:eastAsia="zh-CN"/>
        </w:rPr>
        <w:t>规划实施监测等应用场景建设，促进业务协同联动，</w:t>
      </w:r>
      <w:r>
        <w:rPr>
          <w:rFonts w:hint="eastAsia" w:ascii="宋体" w:hAnsi="宋体" w:eastAsia="方正仿宋_GBK" w:cs="方正仿宋_GBK"/>
          <w:color w:val="auto"/>
          <w:highlight w:val="none"/>
          <w:lang w:val="en-US" w:eastAsia="zh-CN"/>
        </w:rPr>
        <w:t>确保维护过程可追溯、结果可查询、实施可监测</w:t>
      </w:r>
      <w:r>
        <w:rPr>
          <w:rFonts w:hint="eastAsia" w:ascii="宋体" w:hAnsi="宋体" w:cs="方正仿宋_GBK"/>
          <w:color w:val="auto"/>
          <w:highlight w:val="none"/>
          <w:lang w:val="en-US" w:eastAsia="zh-CN"/>
        </w:rPr>
        <w:t>，</w:t>
      </w:r>
      <w:r>
        <w:rPr>
          <w:rFonts w:hint="eastAsia" w:ascii="宋体" w:hAnsi="宋体" w:eastAsia="方正仿宋_GBK" w:cs="方正仿宋_GBK"/>
          <w:b w:val="0"/>
          <w:bCs w:val="0"/>
          <w:color w:val="auto"/>
          <w:kern w:val="2"/>
          <w:sz w:val="32"/>
          <w:szCs w:val="24"/>
          <w:highlight w:val="none"/>
          <w:lang w:val="en-US" w:eastAsia="zh-CN" w:bidi="ar"/>
        </w:rPr>
        <w:t>实现“一张图”全生命周期管理</w:t>
      </w:r>
      <w:r>
        <w:rPr>
          <w:rFonts w:hint="eastAsia" w:ascii="宋体" w:hAnsi="宋体" w:cs="方正仿宋_GBK"/>
          <w:b w:val="0"/>
          <w:bCs w:val="0"/>
          <w:color w:val="auto"/>
          <w:kern w:val="2"/>
          <w:sz w:val="32"/>
          <w:szCs w:val="24"/>
          <w:highlight w:val="none"/>
          <w:lang w:val="en-US" w:eastAsia="zh-CN" w:bidi="ar"/>
        </w:rPr>
        <w:t>。</w:t>
      </w:r>
    </w:p>
    <w:sectPr>
      <w:footerReference r:id="rId7" w:type="default"/>
      <w:pgSz w:w="11906" w:h="16838"/>
      <w:pgMar w:top="1587" w:right="1474" w:bottom="1304" w:left="1587" w:header="851" w:footer="992" w:gutter="0"/>
      <w:pgNumType w:fmt="decimal"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8050B089-C52E-4CB0-A5E4-F6C0FAD7441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6AC67E44-782A-4FDA-9AFC-1A979BAB8535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  <w:embedRegular r:id="rId3" w:fontKey="{A474A585-8664-44F5-B85F-CBD80E7F0969}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  <w:embedRegular r:id="rId4" w:fontKey="{1C142CEA-2A22-4474-8351-B30807E4136B}"/>
  </w:font>
  <w:font w:name="Sakkal Majalla">
    <w:panose1 w:val="02000000000000000000"/>
    <w:charset w:val="00"/>
    <w:family w:val="auto"/>
    <w:pitch w:val="default"/>
    <w:sig w:usb0="A000207F" w:usb1="C000204B" w:usb2="00000008" w:usb3="00000000" w:csb0="200000D3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4FDFA">
    <w:pPr>
      <w:pStyle w:val="1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4183CE">
    <w:pPr>
      <w:pStyle w:val="1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2493645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2B4B4E">
                          <w:pPr>
                            <w:pStyle w:val="18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spacing w:line="0" w:lineRule="atLeast"/>
                            <w:ind w:firstLine="0" w:firstLineChars="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6.3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HI77BTVAAAACAEAAA8AAAAAAAAAAQAgAAAAIgAAAGRycy9kb3ducmV2LnhtbFBL&#10;AQIUABQAAAAIAIdO4kBS4pbL3QIAACQGAAAOAAAAAAAAAAEAIAAAACQBAABkcnMvZTJvRG9jLnht&#10;bFBLBQYAAAAABgAGAFkBAABz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2B4B4E">
                    <w:pPr>
                      <w:pStyle w:val="18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spacing w:line="0" w:lineRule="atLeast"/>
                      <w:ind w:firstLine="0" w:firstLineChars="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9E5A4">
    <w:pPr>
      <w:pStyle w:val="1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8BF4EFD"/>
    <w:multiLevelType w:val="multilevel"/>
    <w:tmpl w:val="D8BF4EFD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方正楷体_GBK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Times New Roman" w:hAnsi="Times New Roman" w:eastAsia="方正仿宋_GBK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Times New Roman" w:hAnsi="Times New Roman" w:eastAsia="方正仿宋_GBK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9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0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1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2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20DCE"/>
    <w:rsid w:val="01A544B3"/>
    <w:rsid w:val="02184C85"/>
    <w:rsid w:val="023D4AD4"/>
    <w:rsid w:val="0241242E"/>
    <w:rsid w:val="02B81778"/>
    <w:rsid w:val="039C5442"/>
    <w:rsid w:val="03DE6E12"/>
    <w:rsid w:val="050D4849"/>
    <w:rsid w:val="058310E5"/>
    <w:rsid w:val="062F259D"/>
    <w:rsid w:val="06EE5523"/>
    <w:rsid w:val="082425D6"/>
    <w:rsid w:val="099260C1"/>
    <w:rsid w:val="09E0749F"/>
    <w:rsid w:val="0AAF0151"/>
    <w:rsid w:val="0ADD4CBE"/>
    <w:rsid w:val="0BEA18FE"/>
    <w:rsid w:val="0BF4406D"/>
    <w:rsid w:val="0C1110C3"/>
    <w:rsid w:val="0C840A1A"/>
    <w:rsid w:val="0CA44094"/>
    <w:rsid w:val="0D841421"/>
    <w:rsid w:val="0E3E5A73"/>
    <w:rsid w:val="0F8643A0"/>
    <w:rsid w:val="0F8723B2"/>
    <w:rsid w:val="0FCB14DD"/>
    <w:rsid w:val="102A657A"/>
    <w:rsid w:val="1090632E"/>
    <w:rsid w:val="114E14F4"/>
    <w:rsid w:val="12C329EB"/>
    <w:rsid w:val="13C52C30"/>
    <w:rsid w:val="13D5744A"/>
    <w:rsid w:val="13F3210C"/>
    <w:rsid w:val="152A6D51"/>
    <w:rsid w:val="18550589"/>
    <w:rsid w:val="18EB2629"/>
    <w:rsid w:val="191E4E1F"/>
    <w:rsid w:val="1922740A"/>
    <w:rsid w:val="19B65058"/>
    <w:rsid w:val="1AC33C7A"/>
    <w:rsid w:val="1AF31906"/>
    <w:rsid w:val="1BD46B05"/>
    <w:rsid w:val="1C0B5290"/>
    <w:rsid w:val="1C384865"/>
    <w:rsid w:val="1C691FF8"/>
    <w:rsid w:val="1E05035C"/>
    <w:rsid w:val="1E2C3B3A"/>
    <w:rsid w:val="1E914B21"/>
    <w:rsid w:val="201605FE"/>
    <w:rsid w:val="20634387"/>
    <w:rsid w:val="20E27D34"/>
    <w:rsid w:val="2142491A"/>
    <w:rsid w:val="21EF7359"/>
    <w:rsid w:val="23CB7951"/>
    <w:rsid w:val="23CE11F0"/>
    <w:rsid w:val="244E0183"/>
    <w:rsid w:val="24582584"/>
    <w:rsid w:val="251C65BB"/>
    <w:rsid w:val="25FE3F4F"/>
    <w:rsid w:val="26395046"/>
    <w:rsid w:val="269C7383"/>
    <w:rsid w:val="277F0D47"/>
    <w:rsid w:val="27952750"/>
    <w:rsid w:val="28AB1AFF"/>
    <w:rsid w:val="290F6532"/>
    <w:rsid w:val="29C966E1"/>
    <w:rsid w:val="29F574D6"/>
    <w:rsid w:val="2A662182"/>
    <w:rsid w:val="2DB61910"/>
    <w:rsid w:val="2E9A5A84"/>
    <w:rsid w:val="2E9F3EB4"/>
    <w:rsid w:val="2E9F5C62"/>
    <w:rsid w:val="2F2F5298"/>
    <w:rsid w:val="2FC11C09"/>
    <w:rsid w:val="2FEA115F"/>
    <w:rsid w:val="303578F8"/>
    <w:rsid w:val="308731A1"/>
    <w:rsid w:val="30A6152A"/>
    <w:rsid w:val="30FC739C"/>
    <w:rsid w:val="31717D8A"/>
    <w:rsid w:val="326F3B9E"/>
    <w:rsid w:val="331704BD"/>
    <w:rsid w:val="33462B51"/>
    <w:rsid w:val="33737E02"/>
    <w:rsid w:val="338F1860"/>
    <w:rsid w:val="33C0289B"/>
    <w:rsid w:val="36BB44D5"/>
    <w:rsid w:val="37A10B95"/>
    <w:rsid w:val="38340DB8"/>
    <w:rsid w:val="38521F98"/>
    <w:rsid w:val="3853716F"/>
    <w:rsid w:val="38D64977"/>
    <w:rsid w:val="39C72511"/>
    <w:rsid w:val="39F03816"/>
    <w:rsid w:val="3BB865B6"/>
    <w:rsid w:val="3C5C1637"/>
    <w:rsid w:val="3C9568F7"/>
    <w:rsid w:val="3CEC29BB"/>
    <w:rsid w:val="3DDC47DD"/>
    <w:rsid w:val="3E4706A7"/>
    <w:rsid w:val="3FB04EF9"/>
    <w:rsid w:val="3FC61E16"/>
    <w:rsid w:val="404E1FDC"/>
    <w:rsid w:val="412E67EA"/>
    <w:rsid w:val="42CA06D6"/>
    <w:rsid w:val="430E5A81"/>
    <w:rsid w:val="435430CB"/>
    <w:rsid w:val="453E73B1"/>
    <w:rsid w:val="45667082"/>
    <w:rsid w:val="4574179F"/>
    <w:rsid w:val="4665558C"/>
    <w:rsid w:val="468772B0"/>
    <w:rsid w:val="487D2092"/>
    <w:rsid w:val="4929321F"/>
    <w:rsid w:val="492B486B"/>
    <w:rsid w:val="49D92519"/>
    <w:rsid w:val="4A20700A"/>
    <w:rsid w:val="4B0E000E"/>
    <w:rsid w:val="4B120DCE"/>
    <w:rsid w:val="4B991F60"/>
    <w:rsid w:val="4C59349D"/>
    <w:rsid w:val="4D461C73"/>
    <w:rsid w:val="4D8D2E6A"/>
    <w:rsid w:val="4DB0533F"/>
    <w:rsid w:val="4E01203E"/>
    <w:rsid w:val="4E256AC3"/>
    <w:rsid w:val="4EFA235D"/>
    <w:rsid w:val="51E15E87"/>
    <w:rsid w:val="521627B9"/>
    <w:rsid w:val="52DE0585"/>
    <w:rsid w:val="53C42A66"/>
    <w:rsid w:val="54694499"/>
    <w:rsid w:val="56002BDB"/>
    <w:rsid w:val="564D4072"/>
    <w:rsid w:val="56FB745A"/>
    <w:rsid w:val="57CA2856"/>
    <w:rsid w:val="57E15C79"/>
    <w:rsid w:val="58601541"/>
    <w:rsid w:val="58AB32D2"/>
    <w:rsid w:val="5AA224B3"/>
    <w:rsid w:val="5B47114C"/>
    <w:rsid w:val="5BAD55B3"/>
    <w:rsid w:val="5C0F1DCA"/>
    <w:rsid w:val="5CD01559"/>
    <w:rsid w:val="5CDF0B11"/>
    <w:rsid w:val="5CE25D24"/>
    <w:rsid w:val="5DD961EC"/>
    <w:rsid w:val="5DF70989"/>
    <w:rsid w:val="5EF552A7"/>
    <w:rsid w:val="607246D5"/>
    <w:rsid w:val="619C1A0A"/>
    <w:rsid w:val="62051CA5"/>
    <w:rsid w:val="62123566"/>
    <w:rsid w:val="62316EE2"/>
    <w:rsid w:val="623B56C7"/>
    <w:rsid w:val="62744735"/>
    <w:rsid w:val="6304758E"/>
    <w:rsid w:val="634520A2"/>
    <w:rsid w:val="64BF6F07"/>
    <w:rsid w:val="65462433"/>
    <w:rsid w:val="65B23EF2"/>
    <w:rsid w:val="65D06126"/>
    <w:rsid w:val="66D439F4"/>
    <w:rsid w:val="67057B51"/>
    <w:rsid w:val="67654F94"/>
    <w:rsid w:val="6A4610AD"/>
    <w:rsid w:val="6C744A82"/>
    <w:rsid w:val="6D940865"/>
    <w:rsid w:val="6ECE0E80"/>
    <w:rsid w:val="6ED8538E"/>
    <w:rsid w:val="6F12155D"/>
    <w:rsid w:val="6F5A7620"/>
    <w:rsid w:val="701051AB"/>
    <w:rsid w:val="70C82B05"/>
    <w:rsid w:val="71BE777B"/>
    <w:rsid w:val="72693B8A"/>
    <w:rsid w:val="72793FFD"/>
    <w:rsid w:val="73533A44"/>
    <w:rsid w:val="73AD7AA7"/>
    <w:rsid w:val="741D2E7E"/>
    <w:rsid w:val="755F7626"/>
    <w:rsid w:val="76B178AE"/>
    <w:rsid w:val="77020A05"/>
    <w:rsid w:val="771A0FAA"/>
    <w:rsid w:val="772C5186"/>
    <w:rsid w:val="77877D29"/>
    <w:rsid w:val="781609B3"/>
    <w:rsid w:val="79A656C4"/>
    <w:rsid w:val="79DD679D"/>
    <w:rsid w:val="7A0E1282"/>
    <w:rsid w:val="7A5A200A"/>
    <w:rsid w:val="7AFD1314"/>
    <w:rsid w:val="7B77219D"/>
    <w:rsid w:val="7C8B22DF"/>
    <w:rsid w:val="7CB56165"/>
    <w:rsid w:val="7D381051"/>
    <w:rsid w:val="7DB55ED6"/>
    <w:rsid w:val="7E851623"/>
    <w:rsid w:val="7E8B4E88"/>
    <w:rsid w:val="7F211349"/>
    <w:rsid w:val="7FE9455C"/>
    <w:rsid w:val="7FEA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803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33"/>
    <w:qFormat/>
    <w:uiPriority w:val="9"/>
    <w:pPr>
      <w:keepNext/>
      <w:keepLines/>
      <w:numPr>
        <w:ilvl w:val="0"/>
        <w:numId w:val="0"/>
      </w:numPr>
      <w:tabs>
        <w:tab w:val="left" w:pos="0"/>
      </w:tabs>
      <w:spacing w:line="640" w:lineRule="exact"/>
      <w:ind w:firstLine="800" w:firstLineChars="200"/>
      <w:outlineLvl w:val="0"/>
    </w:pPr>
    <w:rPr>
      <w:rFonts w:ascii="Times New Roman" w:hAnsi="Times New Roman" w:eastAsia="方正黑体_GBK"/>
      <w:bCs/>
      <w:color w:val="E54C5E" w:themeColor="accent6"/>
      <w:kern w:val="44"/>
      <w:szCs w:val="18"/>
      <w14:textFill>
        <w14:solidFill>
          <w14:schemeClr w14:val="accent6"/>
        </w14:solidFill>
      </w14:textFill>
    </w:rPr>
  </w:style>
  <w:style w:type="paragraph" w:styleId="2">
    <w:name w:val="heading 2"/>
    <w:basedOn w:val="1"/>
    <w:next w:val="1"/>
    <w:link w:val="32"/>
    <w:unhideWhenUsed/>
    <w:qFormat/>
    <w:uiPriority w:val="9"/>
    <w:pPr>
      <w:numPr>
        <w:ilvl w:val="1"/>
        <w:numId w:val="0"/>
      </w:numPr>
      <w:tabs>
        <w:tab w:val="left" w:pos="0"/>
      </w:tabs>
      <w:spacing w:line="640" w:lineRule="exact"/>
      <w:ind w:left="0" w:firstLine="800" w:firstLineChars="200"/>
      <w:outlineLvl w:val="1"/>
    </w:pPr>
    <w:rPr>
      <w:rFonts w:ascii="Times New Roman" w:hAnsi="Times New Roman" w:eastAsia="方正楷体_GBK"/>
      <w:color w:val="30C0B4" w:themeColor="accent5"/>
      <w:szCs w:val="32"/>
      <w14:textFill>
        <w14:solidFill>
          <w14:schemeClr w14:val="accent5"/>
        </w14:solidFill>
      </w14:textFill>
    </w:rPr>
  </w:style>
  <w:style w:type="paragraph" w:styleId="4">
    <w:name w:val="heading 3"/>
    <w:basedOn w:val="1"/>
    <w:next w:val="1"/>
    <w:link w:val="31"/>
    <w:unhideWhenUsed/>
    <w:qFormat/>
    <w:uiPriority w:val="9"/>
    <w:pPr>
      <w:numPr>
        <w:ilvl w:val="2"/>
        <w:numId w:val="0"/>
      </w:numPr>
      <w:tabs>
        <w:tab w:val="left" w:pos="312"/>
      </w:tabs>
      <w:spacing w:line="560" w:lineRule="exact"/>
      <w:ind w:left="0" w:firstLine="800" w:firstLineChars="200"/>
      <w:outlineLvl w:val="2"/>
    </w:pPr>
    <w:rPr>
      <w:rFonts w:ascii="Times New Roman" w:hAnsi="Times New Roman"/>
      <w:b/>
      <w:color w:val="4874CB" w:themeColor="accent1"/>
      <w:szCs w:val="32"/>
      <w14:textFill>
        <w14:solidFill>
          <w14:schemeClr w14:val="accent1"/>
        </w14:solidFill>
      </w14:textFill>
    </w:rPr>
  </w:style>
  <w:style w:type="paragraph" w:styleId="5">
    <w:name w:val="heading 4"/>
    <w:next w:val="1"/>
    <w:link w:val="44"/>
    <w:unhideWhenUsed/>
    <w:qFormat/>
    <w:uiPriority w:val="9"/>
    <w:pPr>
      <w:numPr>
        <w:ilvl w:val="3"/>
        <w:numId w:val="1"/>
      </w:numPr>
      <w:spacing w:line="560" w:lineRule="exact"/>
      <w:ind w:left="0" w:firstLine="402" w:firstLineChars="0"/>
      <w:outlineLvl w:val="3"/>
    </w:pPr>
    <w:rPr>
      <w:rFonts w:ascii="Times New Roman" w:hAnsi="Times New Roman" w:eastAsia="方正仿宋_GBK" w:cstheme="minorBidi"/>
      <w:color w:val="75BD42" w:themeColor="accent4"/>
      <w:sz w:val="32"/>
      <w:lang w:val="en-US" w:eastAsia="zh-CN" w:bidi="ar-SA"/>
      <w14:textFill>
        <w14:solidFill>
          <w14:schemeClr w14:val="accent4"/>
        </w14:solidFill>
      </w14:textFill>
    </w:rPr>
  </w:style>
  <w:style w:type="paragraph" w:styleId="6">
    <w:name w:val="heading 5"/>
    <w:next w:val="7"/>
    <w:unhideWhenUsed/>
    <w:qFormat/>
    <w:uiPriority w:val="9"/>
    <w:pPr>
      <w:numPr>
        <w:ilvl w:val="4"/>
        <w:numId w:val="1"/>
      </w:numPr>
      <w:tabs>
        <w:tab w:val="left" w:pos="312"/>
        <w:tab w:val="clear" w:pos="0"/>
      </w:tabs>
      <w:spacing w:before="30" w:beforeLines="30" w:after="30" w:afterLines="30"/>
      <w:ind w:left="0" w:firstLine="402"/>
      <w:outlineLvl w:val="4"/>
    </w:pPr>
    <w:rPr>
      <w:rFonts w:ascii="Arial" w:hAnsi="Arial" w:eastAsiaTheme="majorEastAsia" w:cstheme="minorBidi"/>
      <w:b/>
      <w:sz w:val="24"/>
      <w:szCs w:val="22"/>
      <w:lang w:val="en-US" w:eastAsia="zh-CN" w:bidi="ar-SA"/>
    </w:rPr>
  </w:style>
  <w:style w:type="paragraph" w:styleId="9">
    <w:name w:val="heading 6"/>
    <w:next w:val="7"/>
    <w:unhideWhenUsed/>
    <w:qFormat/>
    <w:uiPriority w:val="0"/>
    <w:pPr>
      <w:numPr>
        <w:ilvl w:val="5"/>
        <w:numId w:val="1"/>
      </w:numPr>
      <w:spacing w:before="30" w:beforeLines="30" w:after="30" w:afterLines="30" w:line="312" w:lineRule="auto"/>
      <w:ind w:left="0" w:firstLine="402"/>
      <w:outlineLvl w:val="5"/>
    </w:pPr>
    <w:rPr>
      <w:rFonts w:ascii="Arial" w:hAnsi="Arial" w:eastAsia="黑体" w:cstheme="minorBidi"/>
      <w:b/>
      <w:sz w:val="24"/>
      <w:lang w:val="en-US" w:eastAsia="zh-CN" w:bidi="ar-SA"/>
    </w:rPr>
  </w:style>
  <w:style w:type="paragraph" w:styleId="10">
    <w:name w:val="heading 7"/>
    <w:next w:val="1"/>
    <w:unhideWhenUsed/>
    <w:qFormat/>
    <w:uiPriority w:val="0"/>
    <w:pPr>
      <w:numPr>
        <w:ilvl w:val="6"/>
        <w:numId w:val="1"/>
      </w:numPr>
      <w:spacing w:before="30" w:beforeLines="30" w:after="30" w:afterLines="30" w:line="312" w:lineRule="auto"/>
      <w:ind w:left="0" w:firstLine="402"/>
      <w:outlineLvl w:val="6"/>
    </w:pPr>
    <w:rPr>
      <w:rFonts w:ascii="Arial" w:hAnsi="Arial" w:eastAsia="黑体" w:cstheme="minorBidi"/>
      <w:b/>
      <w:sz w:val="24"/>
      <w:lang w:val="en-US" w:eastAsia="zh-CN" w:bidi="ar-SA"/>
    </w:rPr>
  </w:style>
  <w:style w:type="paragraph" w:styleId="11">
    <w:name w:val="heading 8"/>
    <w:next w:val="7"/>
    <w:unhideWhenUsed/>
    <w:qFormat/>
    <w:uiPriority w:val="0"/>
    <w:pPr>
      <w:numPr>
        <w:ilvl w:val="7"/>
        <w:numId w:val="1"/>
      </w:numPr>
      <w:spacing w:before="30" w:beforeLines="30" w:after="30" w:afterLines="30" w:line="312" w:lineRule="auto"/>
      <w:ind w:left="0" w:firstLine="402"/>
      <w:outlineLvl w:val="7"/>
    </w:pPr>
    <w:rPr>
      <w:rFonts w:eastAsia="黑体" w:asciiTheme="majorAscii" w:hAnsiTheme="majorAscii" w:cstheme="majorBidi"/>
      <w:b/>
      <w:sz w:val="24"/>
      <w:lang w:val="en-US" w:eastAsia="zh-CN" w:bidi="ar-SA"/>
    </w:rPr>
  </w:style>
  <w:style w:type="paragraph" w:styleId="12">
    <w:name w:val="heading 9"/>
    <w:next w:val="7"/>
    <w:unhideWhenUsed/>
    <w:qFormat/>
    <w:uiPriority w:val="0"/>
    <w:pPr>
      <w:numPr>
        <w:ilvl w:val="8"/>
        <w:numId w:val="1"/>
      </w:numPr>
      <w:spacing w:before="30" w:beforeLines="30" w:after="30" w:afterLines="30" w:line="312" w:lineRule="auto"/>
      <w:ind w:left="0" w:firstLine="402"/>
      <w:outlineLvl w:val="8"/>
    </w:pPr>
    <w:rPr>
      <w:rFonts w:eastAsia="黑体" w:asciiTheme="majorAscii" w:hAnsiTheme="majorAscii" w:cstheme="majorBidi"/>
      <w:b/>
      <w:sz w:val="24"/>
      <w:szCs w:val="21"/>
      <w:lang w:val="en-US" w:eastAsia="zh-CN" w:bidi="ar-SA"/>
    </w:rPr>
  </w:style>
  <w:style w:type="character" w:default="1" w:styleId="27">
    <w:name w:val="Default Paragraph Font"/>
    <w:semiHidden/>
    <w:qFormat/>
    <w:uiPriority w:val="0"/>
  </w:style>
  <w:style w:type="table" w:default="1" w:styleId="2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next w:val="8"/>
    <w:qFormat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/>
    </w:rPr>
  </w:style>
  <w:style w:type="paragraph" w:styleId="8">
    <w:name w:val="toc 5"/>
    <w:basedOn w:val="1"/>
    <w:next w:val="1"/>
    <w:qFormat/>
    <w:uiPriority w:val="39"/>
    <w:pPr>
      <w:ind w:left="1680" w:leftChars="800"/>
    </w:pPr>
  </w:style>
  <w:style w:type="paragraph" w:styleId="13">
    <w:name w:val="Normal Indent"/>
    <w:basedOn w:val="1"/>
    <w:next w:val="1"/>
    <w:qFormat/>
    <w:uiPriority w:val="0"/>
    <w:pPr>
      <w:ind w:firstLine="420" w:firstLineChars="200"/>
    </w:pPr>
  </w:style>
  <w:style w:type="paragraph" w:styleId="14">
    <w:name w:val="toa heading"/>
    <w:basedOn w:val="1"/>
    <w:next w:val="1"/>
    <w:semiHidden/>
    <w:qFormat/>
    <w:uiPriority w:val="0"/>
    <w:pPr>
      <w:spacing w:before="120"/>
    </w:pPr>
    <w:rPr>
      <w:rFonts w:ascii="Arial" w:hAnsi="Arial" w:cs="Arial"/>
    </w:rPr>
  </w:style>
  <w:style w:type="paragraph" w:styleId="15">
    <w:name w:val="annotation text"/>
    <w:basedOn w:val="1"/>
    <w:qFormat/>
    <w:uiPriority w:val="0"/>
    <w:pPr>
      <w:jc w:val="left"/>
    </w:pPr>
  </w:style>
  <w:style w:type="paragraph" w:styleId="16">
    <w:name w:val="Plain Text"/>
    <w:basedOn w:val="1"/>
    <w:qFormat/>
    <w:uiPriority w:val="0"/>
    <w:rPr>
      <w:rFonts w:ascii="宋体" w:hAnsi="Courier New"/>
    </w:rPr>
  </w:style>
  <w:style w:type="paragraph" w:styleId="17">
    <w:name w:val="Body Text Indent 2"/>
    <w:basedOn w:val="1"/>
    <w:qFormat/>
    <w:uiPriority w:val="0"/>
    <w:pPr>
      <w:spacing w:after="120" w:afterLines="0" w:line="480" w:lineRule="auto"/>
      <w:ind w:left="420" w:leftChars="200"/>
    </w:pPr>
  </w:style>
  <w:style w:type="paragraph" w:styleId="1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20">
    <w:name w:val="toc 1"/>
    <w:basedOn w:val="1"/>
    <w:next w:val="1"/>
    <w:qFormat/>
    <w:uiPriority w:val="0"/>
    <w:pPr>
      <w:ind w:firstLine="0" w:firstLineChars="0"/>
    </w:pPr>
    <w:rPr>
      <w:rFonts w:ascii="Times New Roman" w:hAnsi="Times New Roman"/>
      <w:b/>
    </w:rPr>
  </w:style>
  <w:style w:type="paragraph" w:styleId="21">
    <w:name w:val="Subtitle"/>
    <w:basedOn w:val="1"/>
    <w:qFormat/>
    <w:uiPriority w:val="0"/>
    <w:pPr>
      <w:spacing w:before="120" w:beforeLines="0" w:beforeAutospacing="0" w:after="60" w:afterLines="0" w:afterAutospacing="0" w:line="312" w:lineRule="auto"/>
      <w:jc w:val="center"/>
      <w:outlineLvl w:val="9"/>
    </w:pPr>
    <w:rPr>
      <w:rFonts w:ascii="Arial" w:hAnsi="Arial"/>
      <w:b/>
      <w:kern w:val="28"/>
      <w:sz w:val="32"/>
    </w:rPr>
  </w:style>
  <w:style w:type="paragraph" w:styleId="22">
    <w:name w:val="toc 2"/>
    <w:basedOn w:val="1"/>
    <w:next w:val="1"/>
    <w:qFormat/>
    <w:uiPriority w:val="0"/>
    <w:pPr>
      <w:ind w:left="0" w:leftChars="0"/>
    </w:pPr>
    <w:rPr>
      <w:rFonts w:ascii="Times New Roman" w:hAnsi="Times New Roman"/>
    </w:rPr>
  </w:style>
  <w:style w:type="paragraph" w:styleId="2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24">
    <w:name w:val="Title"/>
    <w:basedOn w:val="1"/>
    <w:next w:val="7"/>
    <w:qFormat/>
    <w:uiPriority w:val="10"/>
    <w:pPr>
      <w:spacing w:line="240" w:lineRule="auto"/>
      <w:ind w:firstLine="0" w:firstLineChars="0"/>
      <w:jc w:val="center"/>
      <w:outlineLvl w:val="9"/>
    </w:pPr>
    <w:rPr>
      <w:rFonts w:asciiTheme="majorEastAsia" w:hAnsiTheme="majorEastAsia"/>
      <w:b/>
      <w:sz w:val="52"/>
      <w:szCs w:val="44"/>
    </w:rPr>
  </w:style>
  <w:style w:type="table" w:styleId="26">
    <w:name w:val="Table Grid"/>
    <w:basedOn w:val="2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Strong"/>
    <w:basedOn w:val="27"/>
    <w:qFormat/>
    <w:uiPriority w:val="22"/>
    <w:rPr>
      <w:rFonts w:ascii="Arial" w:hAnsi="Arial" w:eastAsia="黑体"/>
      <w:b/>
      <w:color w:val="4874CB" w:themeColor="accent1"/>
      <w:u w:val="single"/>
      <w14:textFill>
        <w14:solidFill>
          <w14:schemeClr w14:val="accent1"/>
        </w14:solidFill>
      </w14:textFill>
    </w:rPr>
  </w:style>
  <w:style w:type="character" w:styleId="29">
    <w:name w:val="Emphasis"/>
    <w:basedOn w:val="27"/>
    <w:qFormat/>
    <w:uiPriority w:val="20"/>
    <w:rPr>
      <w:rFonts w:ascii="Arial" w:hAnsi="Arial" w:eastAsia="黑体"/>
      <w:b/>
      <w:bCs/>
      <w:i/>
      <w:color w:val="C00000"/>
      <w:sz w:val="24"/>
      <w:szCs w:val="22"/>
    </w:rPr>
  </w:style>
  <w:style w:type="paragraph" w:customStyle="1" w:styleId="30">
    <w:name w:val="表格名称"/>
    <w:basedOn w:val="1"/>
    <w:qFormat/>
    <w:uiPriority w:val="0"/>
    <w:pPr>
      <w:spacing w:before="50" w:beforeLines="50" w:after="50" w:afterLines="50" w:line="400" w:lineRule="exact"/>
      <w:ind w:firstLine="0" w:firstLineChars="0"/>
      <w:jc w:val="center"/>
    </w:pPr>
    <w:rPr>
      <w:rFonts w:hint="eastAsia" w:ascii="Times New Roman" w:hAnsi="Times New Roman"/>
      <w:b/>
      <w:sz w:val="24"/>
    </w:rPr>
  </w:style>
  <w:style w:type="character" w:customStyle="1" w:styleId="31">
    <w:name w:val="标题 3 Char2"/>
    <w:link w:val="4"/>
    <w:qFormat/>
    <w:uiPriority w:val="0"/>
    <w:rPr>
      <w:rFonts w:ascii="Times New Roman" w:hAnsi="Times New Roman" w:eastAsia="方正仿宋_GBK"/>
      <w:b/>
      <w:color w:val="4874CB" w:themeColor="accent1"/>
      <w:szCs w:val="32"/>
      <w14:textFill>
        <w14:solidFill>
          <w14:schemeClr w14:val="accent1"/>
        </w14:solidFill>
      </w14:textFill>
    </w:rPr>
  </w:style>
  <w:style w:type="character" w:customStyle="1" w:styleId="32">
    <w:name w:val="标题 2 Char"/>
    <w:link w:val="2"/>
    <w:qFormat/>
    <w:uiPriority w:val="0"/>
    <w:rPr>
      <w:rFonts w:ascii="Times New Roman" w:hAnsi="Times New Roman" w:eastAsia="方正楷体_GBK"/>
      <w:color w:val="30C0B4" w:themeColor="accent5"/>
      <w:szCs w:val="32"/>
      <w14:textFill>
        <w14:solidFill>
          <w14:schemeClr w14:val="accent5"/>
        </w14:solidFill>
      </w14:textFill>
    </w:rPr>
  </w:style>
  <w:style w:type="character" w:customStyle="1" w:styleId="33">
    <w:name w:val="标题 1 Char"/>
    <w:link w:val="3"/>
    <w:qFormat/>
    <w:uiPriority w:val="0"/>
    <w:rPr>
      <w:rFonts w:ascii="Times New Roman" w:hAnsi="Times New Roman" w:eastAsia="方正黑体_GBK"/>
      <w:bCs/>
      <w:color w:val="E54C5E" w:themeColor="accent6"/>
      <w:kern w:val="44"/>
      <w:szCs w:val="18"/>
      <w14:textFill>
        <w14:solidFill>
          <w14:schemeClr w14:val="accent6"/>
        </w14:solidFill>
      </w14:textFill>
    </w:rPr>
  </w:style>
  <w:style w:type="paragraph" w:customStyle="1" w:styleId="34">
    <w:name w:val="无间隔1"/>
    <w:basedOn w:val="35"/>
    <w:next w:val="1"/>
    <w:qFormat/>
    <w:uiPriority w:val="99"/>
    <w:rPr>
      <w:szCs w:val="32"/>
    </w:rPr>
  </w:style>
  <w:style w:type="paragraph" w:customStyle="1" w:styleId="35">
    <w:name w:val="正文首行缩进 New"/>
    <w:basedOn w:val="36"/>
    <w:qFormat/>
    <w:uiPriority w:val="99"/>
    <w:pPr>
      <w:ind w:firstLine="420" w:firstLineChars="100"/>
    </w:pPr>
  </w:style>
  <w:style w:type="paragraph" w:customStyle="1" w:styleId="36">
    <w:name w:val="正文文本 New"/>
    <w:basedOn w:val="37"/>
    <w:qFormat/>
    <w:uiPriority w:val="99"/>
  </w:style>
  <w:style w:type="paragraph" w:customStyle="1" w:styleId="37">
    <w:name w:val="正文 New"/>
    <w:next w:val="34"/>
    <w:qFormat/>
    <w:uiPriority w:val="99"/>
    <w:pPr>
      <w:widowControl w:val="0"/>
    </w:pPr>
    <w:rPr>
      <w:rFonts w:ascii="Times New Roman" w:hAnsi="Times New Roman" w:eastAsia="宋体" w:cs="Times New Roman"/>
      <w:kern w:val="0"/>
      <w:sz w:val="32"/>
      <w:szCs w:val="20"/>
      <w:lang w:val="en-US" w:eastAsia="zh-CN" w:bidi="ar-SA"/>
    </w:rPr>
  </w:style>
  <w:style w:type="paragraph" w:styleId="38">
    <w:name w:val="List Paragraph"/>
    <w:qFormat/>
    <w:uiPriority w:val="1"/>
    <w:pPr>
      <w:widowControl w:val="0"/>
      <w:autoSpaceDE w:val="0"/>
      <w:autoSpaceDN w:val="0"/>
      <w:ind w:left="532" w:firstLine="48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customStyle="1" w:styleId="39">
    <w:name w:val="正文（缩进）"/>
    <w:qFormat/>
    <w:uiPriority w:val="0"/>
    <w:pPr>
      <w:widowControl w:val="0"/>
      <w:spacing w:before="156" w:after="156" w:line="360" w:lineRule="auto"/>
      <w:ind w:firstLine="480" w:firstLineChars="200"/>
      <w:jc w:val="both"/>
    </w:pPr>
    <w:rPr>
      <w:rFonts w:ascii="Times New Roman" w:hAnsi="Times New Roman" w:eastAsia="宋体" w:cs="Times New Roman"/>
      <w:color w:val="000000"/>
      <w:kern w:val="2"/>
      <w:sz w:val="24"/>
      <w:szCs w:val="24"/>
      <w:lang w:val="en-US" w:eastAsia="zh-CN" w:bidi="ar-SA"/>
    </w:rPr>
  </w:style>
  <w:style w:type="paragraph" w:customStyle="1" w:styleId="40">
    <w:name w:val="正文11"/>
    <w:qFormat/>
    <w:uiPriority w:val="0"/>
    <w:pPr>
      <w:widowControl w:val="0"/>
      <w:autoSpaceDE w:val="0"/>
      <w:autoSpaceDN w:val="0"/>
      <w:spacing w:line="560" w:lineRule="exact"/>
      <w:ind w:firstLine="200" w:firstLineChars="200"/>
      <w:jc w:val="both"/>
    </w:pPr>
    <w:rPr>
      <w:rFonts w:ascii="Times New Roman" w:hAnsi="Times New Roman" w:eastAsia="方正仿宋_GBK" w:cs="Times New Roman"/>
      <w:color w:val="000000"/>
      <w:sz w:val="32"/>
      <w:szCs w:val="32"/>
      <w:lang w:val="zh-CN" w:eastAsia="zh-CN" w:bidi="zh-CN"/>
    </w:rPr>
  </w:style>
  <w:style w:type="paragraph" w:customStyle="1" w:styleId="41">
    <w:name w:val="一级条标题"/>
    <w:next w:val="42"/>
    <w:qFormat/>
    <w:uiPriority w:val="0"/>
    <w:pPr>
      <w:spacing w:before="0" w:after="0"/>
      <w:jc w:val="both"/>
      <w:outlineLvl w:val="2"/>
    </w:pPr>
    <w:rPr>
      <w:rFonts w:ascii="宋体" w:hAnsi="Times New Roman" w:eastAsia="宋体" w:cs="Times New Roman"/>
      <w:sz w:val="21"/>
      <w:szCs w:val="22"/>
      <w:lang w:val="en-US" w:eastAsia="zh-CN" w:bidi="ar-SA"/>
    </w:rPr>
  </w:style>
  <w:style w:type="paragraph" w:customStyle="1" w:styleId="42">
    <w:name w:val="段"/>
    <w:next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43">
    <w:name w:val="章标题"/>
    <w:next w:val="1"/>
    <w:qFormat/>
    <w:uiPriority w:val="0"/>
    <w:pPr>
      <w:spacing w:before="50" w:after="50"/>
      <w:jc w:val="both"/>
      <w:outlineLvl w:val="1"/>
    </w:pPr>
    <w:rPr>
      <w:rFonts w:ascii="黑体" w:hAnsi="Times New Roman" w:eastAsia="黑体" w:cs="Times New Roman"/>
      <w:sz w:val="21"/>
      <w:szCs w:val="22"/>
      <w:lang w:val="en-US" w:eastAsia="zh-CN" w:bidi="ar-SA"/>
    </w:rPr>
  </w:style>
  <w:style w:type="character" w:customStyle="1" w:styleId="44">
    <w:name w:val="标题 4 Char"/>
    <w:link w:val="5"/>
    <w:qFormat/>
    <w:uiPriority w:val="0"/>
    <w:rPr>
      <w:rFonts w:ascii="Times New Roman" w:hAnsi="Times New Roman" w:eastAsia="方正仿宋_GBK" w:cstheme="minorBidi"/>
      <w:color w:val="75BD42" w:themeColor="accent4"/>
      <w:sz w:val="32"/>
      <w:lang w:val="en-US" w:eastAsia="zh-CN" w:bidi="ar-SA"/>
      <w14:textFill>
        <w14:solidFill>
          <w14:schemeClr w14:val="accent4"/>
        </w14:solidFill>
      </w14:textFill>
    </w:rPr>
  </w:style>
  <w:style w:type="paragraph" w:customStyle="1" w:styleId="45">
    <w:name w:val="表格"/>
    <w:basedOn w:val="1"/>
    <w:qFormat/>
    <w:uiPriority w:val="0"/>
    <w:pPr>
      <w:spacing w:line="400" w:lineRule="exact"/>
      <w:ind w:firstLine="0" w:firstLineChars="0"/>
      <w:jc w:val="center"/>
    </w:pPr>
    <w:rPr>
      <w:rFonts w:hint="eastAsia" w:ascii="Times New Roman" w:hAnsi="Times New Roman"/>
      <w:sz w:val="24"/>
    </w:rPr>
  </w:style>
  <w:style w:type="paragraph" w:customStyle="1" w:styleId="46">
    <w:name w:val="表格字"/>
    <w:basedOn w:val="1"/>
    <w:qFormat/>
    <w:uiPriority w:val="99"/>
    <w:pPr>
      <w:spacing w:line="240" w:lineRule="auto"/>
      <w:ind w:firstLine="0" w:firstLineChars="0"/>
    </w:pPr>
    <w:rPr>
      <w:rFonts w:ascii="仿宋" w:hAnsi="仿宋"/>
      <w:bCs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2c2fce2c-706a-4ba1-8dd0-991c870619cd</errorID>
      <errorWord>前  言</errorWord>
      <group>L1_Grammar</group>
      <groupName>语法问题</groupName>
      <ability>L2_Grammar</ability>
      <abilityName>语法错误</abilityName>
      <candidateList>
        <item>前言</item>
      </candidateList>
      <explain/>
      <paraID>5597EAB4</paraID>
      <start>0</start>
      <end>4</end>
      <status>ignored</status>
      <modifiedWord/>
      <trackRevisions>false</trackRevisions>
    </reviewItem>
    <reviewItem>
      <errorID>7784ee73-6cd6-47a0-a64d-ce70c7014607</errorID>
      <errorWord>国土</errorWord>
      <group>L1_Grammar</group>
      <groupName>语法问题</groupName>
      <ability>L2_Grammar</ability>
      <abilityName>语法错误</abilityName>
      <candidateList>
        <item>筑牢国土</item>
      </candidateList>
      <explain/>
      <paraID>1F54D760</paraID>
      <start>26</start>
      <end>28</end>
      <status>ignored</status>
      <modifiedWord/>
      <trackRevisions>false</trackRevisions>
    </reviewItem>
    <reviewItem>
      <errorID>ec246933-6037-4531-abd0-894214467aa4</errorID>
      <errorWord>城乡</errorWord>
      <group>L1_Grammar</group>
      <groupName>语法问题</groupName>
      <ability>L2_Grammar</ability>
      <abilityName>语法错误</abilityName>
      <candidateList>
        <item>推动城乡</item>
      </candidateList>
      <explain/>
      <paraID>1F54D760</paraID>
      <start>35</start>
      <end>37</end>
      <status>ignored</status>
      <modifiedWord/>
      <trackRevisions>false</trackRevisions>
    </reviewItem>
    <reviewItem>
      <errorID>c0c577ff-b684-4442-b962-3c872babde6e</errorID>
      <errorWord>国土空间规划</errorWord>
      <group>L1_Political</group>
      <groupName>政治性问题</groupName>
      <ability>L2_Keyword</ability>
      <abilityName>固定表述</abilityName>
      <candidateList>
        <item>完善国土空间规划</item>
      </candidateList>
      <explain>此处内容疑似含有固定表述相关错误，建议核查。</explain>
      <paraID>1F54D760</paraID>
      <start>50</start>
      <end>56</end>
      <status>ignored</status>
      <modifiedWord/>
      <trackRevisions>false</trackRevisions>
    </reviewItem>
    <reviewItem>
      <errorID>5b7bb96f-9e26-462a-a4d8-d2191696b8ba</errorID>
      <errorWord>重点野生动植物</errorWord>
      <group>L1_Word</group>
      <groupName>字词问题</groupName>
      <ability>L2_Typo</ability>
      <abilityName>字词错误</abilityName>
      <candidateList>
        <item>重点保护野生动植物</item>
      </candidateList>
      <explain/>
      <paraID>394FDCC5</paraID>
      <start>216</start>
      <end>223</end>
      <status>ignored</status>
      <modifiedWord/>
      <trackRevisions>false</trackRevisions>
    </reviewItem>
    <reviewItem>
      <errorID>5df8f039-57a3-4d00-b2dc-e0febd8d5747</errorID>
      <errorWord>格局成型</errorWord>
      <group>L1_Word</group>
      <groupName>字词问题</groupName>
      <ability>L2_Typo</ability>
      <abilityName>字词错误</abilityName>
      <candidateList>
        <item>格局成形</item>
      </candidateList>
      <explain/>
      <paraID>728BA647</paraID>
      <start>180</start>
      <end>184</end>
      <status>ignored</status>
      <modifiedWord/>
      <trackRevisions>false</trackRevisions>
    </reviewItem>
    <reviewItem>
      <errorID>af6cd08d-013d-4fbc-8cd1-5ef3b32386df</errorID>
      <errorWord>城乡高质量发展统筹推进</errorWord>
      <group>L1_Political</group>
      <groupName>政治性问题</groupName>
      <ability>L2_Keyword</ability>
      <abilityName>固定表述</abilityName>
      <candidateList>
        <item>统筹推进城乡高质量发展</item>
      </candidateList>
      <explain>此处内容疑似含有固定表述相关错误，建议核查。</explain>
      <paraID>54ECF00C</paraID>
      <start>2</start>
      <end>13</end>
      <status>ignored</status>
      <modifiedWord/>
      <trackRevisions>false</trackRevisions>
    </reviewItem>
    <reviewItem>
      <errorID>35afe2b5-de13-4574-961e-2e6cf853a7eb</errorID>
      <errorWord>通车</errorWord>
      <group>L1_Punc</group>
      <groupName>标点问题</groupName>
      <ability>L2_Punc_CN</ability>
      <abilityName>标点符号问题</abilityName>
      <candidateList>
        <item>通车。</item>
      </candidateList>
      <explain/>
      <paraID>7B3765B0</paraID>
      <start>118</start>
      <end>120</end>
      <status>ignored</status>
      <modifiedWord/>
      <trackRevisions>false</trackRevisions>
    </reviewItem>
    <reviewItem>
      <errorID>77c21c4b-e6ac-4653-8213-fcc35b31ec3b</errorID>
      <errorWord>维护</errorWord>
      <group>L1_Word</group>
      <groupName>字词问题</groupName>
      <ability>L2_Typo</ability>
      <abilityName>字词错误</abilityName>
      <candidateList>
        <item>改进</item>
      </candidateList>
      <explain/>
      <paraID>7042311F</paraID>
      <start>6</start>
      <end>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6a2bf26-2f7d-470d-9ace-67b3887fa1f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5650</Words>
  <Characters>5738</Characters>
  <Lines>0</Lines>
  <Paragraphs>0</Paragraphs>
  <TotalTime>1</TotalTime>
  <ScaleCrop>false</ScaleCrop>
  <LinksUpToDate>false</LinksUpToDate>
  <CharactersWithSpaces>5874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2026-07-21T02:47:00Z</dcterms:created>
  <dc:creator>朝霞</dc:creator>
  <cp:lastModifiedBy>Administrator</cp:lastModifiedBy>
  <dcterms:modified xsi:type="dcterms:W3CDTF">2026-08-04T08:07:36Z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5264AE66CD244BA29ADC853EEA7D5A09_13</vt:lpwstr>
  </property>
  <property fmtid="{D5CDD505-2E9C-101B-9397-08002B2CF9AE}" pid="4" name="KSOTemplateDocerSaveRecord">
    <vt:lpwstr>eyJoZGlkIjoiYWYzNjQ2MGZjOWIxOTJiMTU1MjI4ZjViOTg2MzU5MDYiLCJ1c2VySWQiOiI5NDI5MTUwNDAifQ==</vt:lpwstr>
  </property>
</Properties>
</file>