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5E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宋体" w:hAnsi="宋体" w:eastAsia="方正黑体_GBK" w:cs="方正黑体_GBK"/>
          <w:spacing w:val="0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spacing w:val="0"/>
          <w:sz w:val="32"/>
          <w:szCs w:val="32"/>
          <w:lang w:eastAsia="zh-CN"/>
        </w:rPr>
        <w:t>附件</w:t>
      </w:r>
    </w:p>
    <w:p w14:paraId="59911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方正仿宋_GBK" w:cs="方正仿宋_GBK"/>
        </w:rPr>
      </w:pPr>
    </w:p>
    <w:p w14:paraId="5BE9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云南省低效用地认定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办法</w:t>
      </w:r>
      <w:r>
        <w:rPr>
          <w:rFonts w:hint="eastAsia" w:ascii="宋体" w:hAnsi="宋体" w:eastAsia="方正小标宋_GBK" w:cs="方正小标宋_GBK"/>
          <w:sz w:val="44"/>
          <w:szCs w:val="44"/>
          <w:lang w:val="en" w:eastAsia="zh-CN"/>
        </w:rPr>
        <w:t>（试行）</w:t>
      </w:r>
    </w:p>
    <w:p w14:paraId="2BE94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</w:rPr>
      </w:pPr>
      <w:bookmarkStart w:id="2" w:name="_GoBack"/>
    </w:p>
    <w:bookmarkEnd w:id="2"/>
    <w:p w14:paraId="299ED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</w:rPr>
        <w:t>为深入贯彻落实全面节约战略，</w:t>
      </w:r>
      <w:r>
        <w:rPr>
          <w:rFonts w:hint="eastAsia" w:ascii="宋体" w:hAnsi="宋体" w:eastAsia="方正仿宋_GBK" w:cs="方正仿宋_GBK"/>
          <w:lang w:val="en-US" w:eastAsia="zh-CN"/>
        </w:rPr>
        <w:t>增加城乡建设用地有效供给，提高土地利用效能</w:t>
      </w:r>
      <w:r>
        <w:rPr>
          <w:rFonts w:hint="eastAsia" w:ascii="宋体" w:hAnsi="宋体" w:eastAsia="方正仿宋_GBK" w:cs="方正仿宋_GBK"/>
        </w:rPr>
        <w:t>，</w:t>
      </w:r>
      <w:r>
        <w:rPr>
          <w:rFonts w:hint="eastAsia" w:ascii="宋体" w:hAnsi="宋体" w:eastAsia="方正仿宋_GBK" w:cs="方正仿宋_GBK"/>
          <w:lang w:val="en-US" w:eastAsia="zh-CN"/>
        </w:rPr>
        <w:t>根据《国土资源部关于印发〈关于深入推进城镇低效用地再开发的指导意见（试行）〉的通知》（国土资发〔2016〕147号）和</w:t>
      </w:r>
      <w:r>
        <w:rPr>
          <w:rFonts w:hint="eastAsia" w:ascii="宋体" w:hAnsi="宋体" w:eastAsia="方正仿宋_GBK" w:cs="方正仿宋_GBK"/>
        </w:rPr>
        <w:t>《自然资源部</w:t>
      </w:r>
      <w:r>
        <w:rPr>
          <w:rFonts w:hint="eastAsia" w:ascii="宋体" w:hAnsi="宋体" w:eastAsia="方正仿宋_GBK" w:cs="方正仿宋_GBK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</w:rPr>
        <w:t>国家林业和草原局关于进一步做好自然资源要素保障的通知》（自然资发〔2026〕38号）</w:t>
      </w:r>
      <w:r>
        <w:rPr>
          <w:rFonts w:hint="eastAsia" w:ascii="宋体" w:hAnsi="宋体" w:eastAsia="方正仿宋_GBK" w:cs="方正仿宋_GBK"/>
          <w:lang w:val="en-US" w:eastAsia="zh-CN"/>
        </w:rPr>
        <w:t>的</w:t>
      </w:r>
      <w:r>
        <w:rPr>
          <w:rFonts w:hint="eastAsia" w:ascii="宋体" w:hAnsi="宋体" w:eastAsia="方正仿宋_GBK" w:cs="方正仿宋_GBK"/>
          <w:lang w:eastAsia="zh-CN"/>
        </w:rPr>
        <w:t>相关规定</w:t>
      </w:r>
      <w:r>
        <w:rPr>
          <w:rFonts w:hint="eastAsia" w:ascii="宋体" w:hAnsi="宋体" w:eastAsia="方正仿宋_GBK" w:cs="方正仿宋_GBK"/>
          <w:lang w:val="en-US" w:eastAsia="zh-CN"/>
        </w:rPr>
        <w:t>，</w:t>
      </w:r>
      <w:r>
        <w:rPr>
          <w:rFonts w:hint="eastAsia" w:ascii="宋体" w:hAnsi="宋体" w:eastAsia="方正仿宋_GBK" w:cs="方正仿宋_GBK"/>
        </w:rPr>
        <w:t>制定本</w:t>
      </w:r>
      <w:r>
        <w:rPr>
          <w:rFonts w:hint="eastAsia" w:ascii="宋体" w:hAnsi="宋体" w:eastAsia="方正仿宋_GBK" w:cs="方正仿宋_GBK"/>
          <w:lang w:val="en-US" w:eastAsia="zh-CN"/>
        </w:rPr>
        <w:t>低效用地认定办法</w:t>
      </w:r>
      <w:r>
        <w:rPr>
          <w:rFonts w:hint="eastAsia" w:ascii="宋体" w:hAnsi="宋体" w:eastAsia="方正仿宋_GBK" w:cs="方正仿宋_GBK"/>
        </w:rPr>
        <w:t>。</w:t>
      </w:r>
    </w:p>
    <w:p w14:paraId="23080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黑体_GBK" w:cs="方正黑体_GBK"/>
        </w:rPr>
      </w:pPr>
      <w:bookmarkStart w:id="0" w:name="_Toc16587610"/>
      <w:r>
        <w:rPr>
          <w:rFonts w:hint="eastAsia" w:ascii="宋体" w:hAnsi="宋体" w:eastAsia="方正黑体_GBK" w:cs="方正黑体_GBK"/>
          <w:lang w:val="en-US" w:eastAsia="zh-CN"/>
        </w:rPr>
        <w:t>一、适用范围</w:t>
      </w:r>
    </w:p>
    <w:p w14:paraId="5663B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本办法所称低效用地，是指最新年度国土变更调查确定的建设用地中，布局散乱、利用粗放、用途不合理、产业落后、建筑危旧的存量建设用地。纳入认定的低效用地应当</w:t>
      </w:r>
      <w:r>
        <w:rPr>
          <w:rFonts w:hint="eastAsia" w:ascii="宋体" w:hAnsi="宋体" w:eastAsia="方正仿宋_GBK" w:cs="方正仿宋_GBK"/>
        </w:rPr>
        <w:t>权属清晰、主体明确</w:t>
      </w:r>
      <w:r>
        <w:rPr>
          <w:rFonts w:hint="eastAsia" w:ascii="宋体" w:hAnsi="宋体" w:eastAsia="方正仿宋_GBK" w:cs="方正仿宋_GBK"/>
          <w:lang w:eastAsia="zh-CN"/>
        </w:rPr>
        <w:t>，涉及违法违规建设的</w:t>
      </w:r>
      <w:r>
        <w:rPr>
          <w:rFonts w:hint="eastAsia" w:ascii="宋体" w:hAnsi="宋体" w:eastAsia="方正仿宋_GBK" w:cs="方正仿宋_GBK"/>
          <w:lang w:val="en" w:eastAsia="zh-CN"/>
        </w:rPr>
        <w:t>，</w:t>
      </w:r>
      <w:r>
        <w:rPr>
          <w:rFonts w:hint="eastAsia" w:ascii="宋体" w:hAnsi="宋体" w:eastAsia="方正仿宋_GBK" w:cs="方正仿宋_GBK"/>
          <w:lang w:eastAsia="zh-CN"/>
        </w:rPr>
        <w:t>应依法查处完毕。</w:t>
      </w:r>
      <w:r>
        <w:rPr>
          <w:rFonts w:hint="eastAsia" w:ascii="宋体" w:hAnsi="宋体" w:eastAsia="方正仿宋_GBK" w:cs="方正仿宋_GBK"/>
          <w:lang w:val="en-US" w:eastAsia="zh-CN"/>
        </w:rPr>
        <w:t>闲置土地、批而未供土地以及不符合规划的历史遗留用地不纳入认定范围，按照国家及省相关规定另行处置。</w:t>
      </w:r>
    </w:p>
    <w:p w14:paraId="36CF5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黑体_GBK" w:cs="方正黑体_GBK"/>
          <w:lang w:val="en-US" w:eastAsia="zh-CN"/>
        </w:rPr>
      </w:pPr>
      <w:r>
        <w:rPr>
          <w:rFonts w:hint="eastAsia" w:ascii="宋体" w:hAnsi="宋体" w:eastAsia="方正黑体_GBK" w:cs="方正黑体_GBK"/>
          <w:lang w:val="en-US" w:eastAsia="zh-CN"/>
        </w:rPr>
        <w:t>二、认定标准</w:t>
      </w:r>
    </w:p>
    <w:p w14:paraId="34125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低效用地类型包含低效居住用地（不包括宅基地）、低效商业服务业用地、低效工矿用地、低效仓储用地、低效公共管理与公共服务用地、低效村庄用地及其他低效用地。符合下列情形之一的建设用地，可以认定为低效用地：</w:t>
      </w:r>
    </w:p>
    <w:p w14:paraId="3B7F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（一）布局散乱、用途不合理</w:t>
      </w:r>
    </w:p>
    <w:p w14:paraId="6EA17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1.不符合现行国土空间规划布局和用途要求的</w:t>
      </w:r>
      <w:r>
        <w:rPr>
          <w:rFonts w:hint="eastAsia" w:ascii="宋体" w:hAnsi="宋体" w:eastAsia="方正仿宋_GBK" w:cs="方正仿宋_GBK"/>
          <w:lang w:val="en" w:eastAsia="zh-CN"/>
        </w:rPr>
        <w:t>建设用地</w:t>
      </w:r>
      <w:r>
        <w:rPr>
          <w:rFonts w:hint="eastAsia" w:ascii="宋体" w:hAnsi="宋体" w:eastAsia="方正仿宋_GBK" w:cs="方正仿宋_GBK"/>
          <w:lang w:val="en-US" w:eastAsia="zh-CN"/>
        </w:rPr>
        <w:t>；</w:t>
      </w:r>
    </w:p>
    <w:p w14:paraId="50EB8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2.布局散乱、基础设施不配套或公共服务设施落后的城镇及村庄用地；</w:t>
      </w:r>
    </w:p>
    <w:p w14:paraId="0058B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3.城市重点功能区、重要界面或廊道、重要景观风貌区，</w:t>
      </w:r>
      <w:r>
        <w:rPr>
          <w:rFonts w:hint="eastAsia" w:ascii="宋体" w:hAnsi="宋体" w:eastAsia="方正仿宋_GBK" w:cs="方正仿宋_GBK"/>
        </w:rPr>
        <w:t>存在严重影响区域功能发挥或明显与城市设计和风貌管控要求相</w:t>
      </w:r>
      <w:r>
        <w:rPr>
          <w:rFonts w:hint="eastAsia" w:ascii="宋体" w:hAnsi="宋体" w:eastAsia="方正仿宋_GBK" w:cs="方正仿宋_GBK"/>
          <w:lang w:eastAsia="zh-CN"/>
        </w:rPr>
        <w:t>悖</w:t>
      </w:r>
      <w:r>
        <w:rPr>
          <w:rFonts w:hint="eastAsia" w:ascii="宋体" w:hAnsi="宋体" w:eastAsia="方正仿宋_GBK" w:cs="方正仿宋_GBK"/>
        </w:rPr>
        <w:t>的建设用地</w:t>
      </w:r>
      <w:r>
        <w:rPr>
          <w:rFonts w:hint="eastAsia" w:ascii="宋体" w:hAnsi="宋体" w:eastAsia="方正仿宋_GBK" w:cs="方正仿宋_GBK"/>
          <w:lang w:eastAsia="zh-CN"/>
        </w:rPr>
        <w:t>；</w:t>
      </w:r>
    </w:p>
    <w:p w14:paraId="6DBC7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4.位于产业园区外、布局散乱的产业用地；</w:t>
      </w:r>
    </w:p>
    <w:p w14:paraId="75304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5.纳入城市更新的既有建筑、城镇老旧小区、完整社区、老旧街区、老旧厂区、城中村以及用于完善城市功能、城市基础设施建设改造、修复城市生态系统、保护传承城市历史文化等建设用地；</w:t>
      </w:r>
    </w:p>
    <w:p w14:paraId="1083C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6.列入搬迁撤并计划的村庄、纳入全域土地综合整治的村庄用地。</w:t>
      </w:r>
    </w:p>
    <w:p w14:paraId="723AD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（二）利用粗放、效益低下</w:t>
      </w:r>
    </w:p>
    <w:p w14:paraId="3675C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1.容积率低于国家规定行业最低标准的产业用地（分行业容积率指标控制值详见附表1）；</w:t>
      </w:r>
    </w:p>
    <w:p w14:paraId="4C75D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2.固定资产投资强度低于国家规定行业最低标准的产业用地（分行业固定资产投资强度指标详见附表2）；</w:t>
      </w:r>
    </w:p>
    <w:p w14:paraId="022D6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3.低于园区平均亩均税收的产业用地；</w:t>
      </w:r>
    </w:p>
    <w:p w14:paraId="52BB6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4.亩均税收未达约定指标70%的工业“标准地”。</w:t>
      </w:r>
    </w:p>
    <w:p w14:paraId="4BC92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（三）不符合产业导向、环保要求</w:t>
      </w:r>
    </w:p>
    <w:p w14:paraId="11920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1.国家产业政策规定的禁止类、淘汰类产业用地；</w:t>
      </w:r>
    </w:p>
    <w:p w14:paraId="06262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2.不符合所在区域产业规划导向，列入产业布局调整、“退二优二”“腾笼换鸟”“退二进三”计划的产业用地；</w:t>
      </w:r>
    </w:p>
    <w:p w14:paraId="49CCF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3.高耗能、高污染，或其他不符合环保要求、安全生产</w:t>
      </w:r>
      <w:r>
        <w:rPr>
          <w:rFonts w:hint="eastAsia" w:ascii="宋体" w:hAnsi="宋体" w:eastAsia="方正仿宋_GBK" w:cs="方正仿宋_GBK"/>
        </w:rPr>
        <w:t>的</w:t>
      </w:r>
      <w:r>
        <w:rPr>
          <w:rFonts w:hint="eastAsia" w:ascii="宋体" w:hAnsi="宋体" w:eastAsia="方正仿宋_GBK" w:cs="方正仿宋_GBK"/>
          <w:lang w:val="en-US" w:eastAsia="zh-CN"/>
        </w:rPr>
        <w:t>产业用地</w:t>
      </w:r>
      <w:r>
        <w:rPr>
          <w:rFonts w:hint="eastAsia" w:ascii="宋体" w:hAnsi="宋体" w:eastAsia="方正仿宋_GBK" w:cs="方正仿宋_GBK"/>
        </w:rPr>
        <w:t>；</w:t>
      </w:r>
    </w:p>
    <w:p w14:paraId="5480C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4.列入《云南省建设用地土壤污染风险管控和修复名录》，尚未完成修复或未移出名录的</w:t>
      </w:r>
      <w:r>
        <w:rPr>
          <w:rFonts w:hint="eastAsia" w:ascii="宋体" w:hAnsi="宋体" w:eastAsia="方正仿宋_GBK" w:cs="方正仿宋_GBK"/>
          <w:lang w:val="en" w:eastAsia="zh-CN"/>
        </w:rPr>
        <w:t>建设</w:t>
      </w:r>
      <w:r>
        <w:rPr>
          <w:rFonts w:hint="eastAsia" w:ascii="宋体" w:hAnsi="宋体" w:eastAsia="方正仿宋_GBK" w:cs="方正仿宋_GBK"/>
          <w:lang w:val="en-US" w:eastAsia="zh-CN"/>
        </w:rPr>
        <w:t>用地。</w:t>
      </w:r>
    </w:p>
    <w:p w14:paraId="3748A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（四）建筑质量差、存在安全隐患</w:t>
      </w:r>
    </w:p>
    <w:p w14:paraId="02FE7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1.</w:t>
      </w:r>
      <w:r>
        <w:rPr>
          <w:rFonts w:hint="eastAsia" w:ascii="宋体" w:hAnsi="宋体" w:eastAsia="方正仿宋_GBK" w:cs="方正仿宋_GBK"/>
          <w:lang w:val="en" w:eastAsia="zh-CN"/>
        </w:rPr>
        <w:t>建成20年以上的城镇住宅小区</w:t>
      </w:r>
      <w:r>
        <w:rPr>
          <w:rFonts w:hint="eastAsia" w:ascii="宋体" w:hAnsi="宋体" w:eastAsia="方正仿宋_GBK" w:cs="方正仿宋_GBK"/>
          <w:lang w:val="en-US" w:eastAsia="zh-CN"/>
        </w:rPr>
        <w:t>建设用地；</w:t>
      </w:r>
    </w:p>
    <w:p w14:paraId="1282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2.房屋建筑结构存在明显安全、抗震隐患，依据《危险房屋鉴定标准》（JGJ125-2016）鉴定为C、D级危房的，</w:t>
      </w:r>
      <w:r>
        <w:rPr>
          <w:rFonts w:hint="eastAsia" w:ascii="宋体" w:hAnsi="宋体" w:eastAsia="方正仿宋_GBK" w:cs="方正仿宋_GBK"/>
        </w:rPr>
        <w:t>或危旧房屋占比</w:t>
      </w:r>
      <w:r>
        <w:rPr>
          <w:rFonts w:hint="eastAsia" w:ascii="宋体" w:hAnsi="宋体" w:eastAsia="方正仿宋_GBK" w:cs="方正仿宋_GBK"/>
          <w:lang w:val="en-US" w:eastAsia="zh-CN"/>
        </w:rPr>
        <w:t>较高的建设用地；</w:t>
      </w:r>
    </w:p>
    <w:p w14:paraId="22650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3.地上房屋消防安全等级评估为Ⅴ级，或建筑物防火间距不足，建筑耐火等级较低，</w:t>
      </w:r>
      <w:r>
        <w:rPr>
          <w:rFonts w:hint="eastAsia" w:ascii="宋体" w:hAnsi="宋体" w:eastAsia="方正仿宋_GBK" w:cs="方正仿宋_GBK"/>
        </w:rPr>
        <w:t>存在重大消防安全风险</w:t>
      </w:r>
      <w:r>
        <w:rPr>
          <w:rFonts w:hint="eastAsia" w:ascii="宋体" w:hAnsi="宋体" w:eastAsia="方正仿宋_GBK" w:cs="方正仿宋_GBK"/>
          <w:lang w:val="en-US" w:eastAsia="zh-CN"/>
        </w:rPr>
        <w:t>的建设用地；</w:t>
      </w:r>
    </w:p>
    <w:p w14:paraId="3F670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4.属于地质灾害隐患点且尚未治理的城镇、村庄建设用地。</w:t>
      </w:r>
    </w:p>
    <w:p w14:paraId="05498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（五）长期</w:t>
      </w:r>
      <w:r>
        <w:rPr>
          <w:rFonts w:hint="eastAsia" w:ascii="宋体" w:hAnsi="宋体" w:eastAsia="方正楷体_GBK" w:cs="方正楷体_GBK"/>
          <w:lang w:val="en" w:eastAsia="zh-CN"/>
        </w:rPr>
        <w:t>停产、</w:t>
      </w:r>
      <w:r>
        <w:rPr>
          <w:rFonts w:hint="eastAsia" w:ascii="宋体" w:hAnsi="宋体" w:eastAsia="方正楷体_GBK" w:cs="方正楷体_GBK"/>
          <w:lang w:val="en-US" w:eastAsia="zh-CN"/>
        </w:rPr>
        <w:t>空置废弃</w:t>
      </w:r>
    </w:p>
    <w:p w14:paraId="58B07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1.长期空置的标准厂房以及</w:t>
      </w:r>
      <w:r>
        <w:rPr>
          <w:rFonts w:hint="eastAsia" w:ascii="宋体" w:hAnsi="宋体" w:eastAsia="方正仿宋_GBK" w:cs="方正仿宋_GBK"/>
        </w:rPr>
        <w:t>商服、酒店、批发市场、专业市场等</w:t>
      </w:r>
      <w:r>
        <w:rPr>
          <w:rFonts w:hint="eastAsia" w:ascii="宋体" w:hAnsi="宋体" w:eastAsia="方正仿宋_GBK" w:cs="方正仿宋_GBK"/>
          <w:lang w:val="en-US" w:eastAsia="zh-CN"/>
        </w:rPr>
        <w:t>建设</w:t>
      </w:r>
      <w:r>
        <w:rPr>
          <w:rFonts w:hint="eastAsia" w:ascii="宋体" w:hAnsi="宋体" w:eastAsia="方正仿宋_GBK" w:cs="方正仿宋_GBK"/>
          <w:lang w:eastAsia="zh-CN"/>
        </w:rPr>
        <w:t>用地</w:t>
      </w:r>
      <w:r>
        <w:rPr>
          <w:rFonts w:hint="eastAsia" w:ascii="宋体" w:hAnsi="宋体" w:eastAsia="方正仿宋_GBK" w:cs="方正仿宋_GBK"/>
          <w:lang w:val="en-US" w:eastAsia="zh-CN"/>
        </w:rPr>
        <w:t>；</w:t>
      </w:r>
    </w:p>
    <w:p w14:paraId="4E70D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2.竣工2年以上未投产，或停产1年以上的产业用地；</w:t>
      </w:r>
    </w:p>
    <w:p w14:paraId="7F675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3.未按批准的建设工程</w:t>
      </w:r>
      <w:r>
        <w:rPr>
          <w:rFonts w:hint="eastAsia" w:ascii="宋体" w:hAnsi="宋体" w:eastAsia="方正仿宋_GBK" w:cs="方正仿宋_GBK"/>
          <w:lang w:val="en" w:eastAsia="zh-CN"/>
        </w:rPr>
        <w:t>设计</w:t>
      </w:r>
      <w:r>
        <w:rPr>
          <w:rFonts w:hint="eastAsia" w:ascii="宋体" w:hAnsi="宋体" w:eastAsia="方正仿宋_GBK" w:cs="方正仿宋_GBK"/>
          <w:lang w:val="en-US" w:eastAsia="zh-CN"/>
        </w:rPr>
        <w:t>方案完成建设，剩余空地具备独立开发条件的建设用地；</w:t>
      </w:r>
    </w:p>
    <w:p w14:paraId="03361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4.已闭坑且未进行整治或生态修复的采矿用地；</w:t>
      </w:r>
    </w:p>
    <w:p w14:paraId="51C53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5.</w:t>
      </w:r>
      <w:r>
        <w:rPr>
          <w:rFonts w:hint="eastAsia" w:ascii="宋体" w:hAnsi="宋体" w:eastAsia="方正仿宋_GBK" w:cs="方正仿宋_GBK"/>
          <w:lang w:val="en" w:eastAsia="zh-CN"/>
        </w:rPr>
        <w:t>长期空置或</w:t>
      </w:r>
      <w:r>
        <w:rPr>
          <w:rFonts w:hint="eastAsia" w:ascii="宋体" w:hAnsi="宋体" w:eastAsia="方正仿宋_GBK" w:cs="方正仿宋_GBK"/>
          <w:lang w:val="en-US" w:eastAsia="zh-CN"/>
        </w:rPr>
        <w:t>废弃的公共管理与公共服务、交通运输、公用设施、特殊用地；</w:t>
      </w:r>
    </w:p>
    <w:p w14:paraId="5CED8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6.空心村中的存量建设用地。</w:t>
      </w:r>
    </w:p>
    <w:p w14:paraId="7E4D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（六）其他情形</w:t>
      </w:r>
    </w:p>
    <w:p w14:paraId="14A44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1.难以独立开发利用的“边角地”“夹心地”“插花地”等零星土地；</w:t>
      </w:r>
    </w:p>
    <w:p w14:paraId="70EDD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2.经第二次全国土地调查和第三次全国国土调查均确定为建设用地，符合规划但没有合法用地手续的历史遗留用地；</w:t>
      </w:r>
    </w:p>
    <w:p w14:paraId="0823E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3.其他经认定的低效用地。</w:t>
      </w:r>
    </w:p>
    <w:p w14:paraId="40A77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黑体_GBK" w:cs="方正黑体_GBK"/>
        </w:rPr>
      </w:pPr>
      <w:r>
        <w:rPr>
          <w:rFonts w:hint="eastAsia" w:ascii="宋体" w:hAnsi="宋体" w:eastAsia="方正黑体_GBK" w:cs="方正黑体_GBK"/>
          <w:lang w:val="en-US" w:eastAsia="zh-CN"/>
        </w:rPr>
        <w:t>三、豁免情形</w:t>
      </w:r>
    </w:p>
    <w:p w14:paraId="5C610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符合上述认定标准，但满足下列条件之一的，可不认定为低效用地：</w:t>
      </w:r>
    </w:p>
    <w:p w14:paraId="7934C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（一）认定为文物保护单位、历史建筑、工业遗产等保护范围内的建设用地；</w:t>
      </w:r>
    </w:p>
    <w:p w14:paraId="6B27F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（二）承担基本公共服务、特殊社会功能或城市安全功能的设施用地；</w:t>
      </w:r>
    </w:p>
    <w:p w14:paraId="297B7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（三）经住建、文旅部门认定，具有显著地域特色、时代特征或社区记忆价值，并纳入地方历史风貌保护名录范围内的建设用地；</w:t>
      </w:r>
    </w:p>
    <w:p w14:paraId="5550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（四）已投产，短时间内难以达到固定资产投资强度、亩均税收要求但具有重要科技创新意义的产业用地，包括但不限于战略性新兴产业</w:t>
      </w:r>
      <w:r>
        <w:rPr>
          <w:rFonts w:hint="eastAsia" w:ascii="宋体" w:hAnsi="宋体" w:eastAsia="方正仿宋_GBK" w:cs="方正仿宋_GBK"/>
          <w:lang w:val="en" w:eastAsia="zh-CN"/>
        </w:rPr>
        <w:t>和</w:t>
      </w:r>
      <w:r>
        <w:rPr>
          <w:rFonts w:hint="eastAsia" w:ascii="宋体" w:hAnsi="宋体" w:eastAsia="方正仿宋_GBK" w:cs="方正仿宋_GBK"/>
          <w:lang w:val="en-US" w:eastAsia="zh-CN"/>
        </w:rPr>
        <w:t>未来产业</w:t>
      </w:r>
      <w:r>
        <w:rPr>
          <w:rFonts w:hint="eastAsia" w:ascii="宋体" w:hAnsi="宋体" w:eastAsia="方正仿宋_GBK" w:cs="方正仿宋_GBK"/>
          <w:lang w:val="en" w:eastAsia="zh-CN"/>
        </w:rPr>
        <w:t>，</w:t>
      </w:r>
      <w:r>
        <w:rPr>
          <w:rFonts w:hint="eastAsia" w:ascii="宋体" w:hAnsi="宋体" w:eastAsia="方正仿宋_GBK" w:cs="方正仿宋_GBK"/>
          <w:lang w:val="en-US" w:eastAsia="zh-CN"/>
        </w:rPr>
        <w:t>工业和信息化部认定的高新技术企业、专精特新“小巨人”企业，国家及省级企业技术中心、概念验证中心、中试基地（平台）、省级科技型企业孵化器，以及全国重点实验室、云南实验室、省重点实验室、省技术创新中心、省野外科学观测研究站、省级新型研发机构等用地；</w:t>
      </w:r>
    </w:p>
    <w:p w14:paraId="3767F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eastAsia="zh-CN"/>
        </w:rPr>
        <w:t>（</w:t>
      </w:r>
      <w:r>
        <w:rPr>
          <w:rFonts w:hint="eastAsia" w:ascii="宋体" w:hAnsi="宋体" w:eastAsia="方正仿宋_GBK" w:cs="方正仿宋_GBK"/>
          <w:lang w:val="en-US" w:eastAsia="zh-CN"/>
        </w:rPr>
        <w:t>五）</w:t>
      </w:r>
      <w:r>
        <w:rPr>
          <w:rFonts w:hint="eastAsia" w:ascii="宋体" w:hAnsi="宋体" w:eastAsia="方正仿宋_GBK" w:cs="方正仿宋_GBK"/>
        </w:rPr>
        <w:t>因安全生产、地形地貌、工艺技术等特殊要求确需</w:t>
      </w:r>
      <w:r>
        <w:rPr>
          <w:rFonts w:hint="eastAsia" w:ascii="宋体" w:hAnsi="宋体" w:eastAsia="方正仿宋_GBK" w:cs="方正仿宋_GBK"/>
          <w:lang w:val="en-US" w:eastAsia="zh-CN"/>
        </w:rPr>
        <w:t>在园区外选址或</w:t>
      </w:r>
      <w:r>
        <w:rPr>
          <w:rFonts w:hint="eastAsia" w:ascii="宋体" w:hAnsi="宋体" w:eastAsia="方正仿宋_GBK" w:cs="方正仿宋_GBK"/>
        </w:rPr>
        <w:t>突破</w:t>
      </w:r>
      <w:r>
        <w:rPr>
          <w:rFonts w:hint="eastAsia" w:ascii="宋体" w:hAnsi="宋体" w:eastAsia="方正仿宋_GBK" w:cs="方正仿宋_GBK"/>
          <w:lang w:val="en-US" w:eastAsia="zh-CN"/>
        </w:rPr>
        <w:t>行业最低容积率标准的产业用地</w:t>
      </w:r>
      <w:r>
        <w:rPr>
          <w:rFonts w:hint="eastAsia" w:ascii="宋体" w:hAnsi="宋体" w:eastAsia="方正仿宋_GBK" w:cs="方正仿宋_GBK"/>
          <w:lang w:eastAsia="zh-CN"/>
        </w:rPr>
        <w:t>；</w:t>
      </w:r>
    </w:p>
    <w:p w14:paraId="49E7E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（六）经县（市、区）人民政府或开发区管理委员会论证，明确不宜认定为低效用地的其他情形。</w:t>
      </w:r>
    </w:p>
    <w:bookmarkEnd w:id="0"/>
    <w:p w14:paraId="26D6B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黑体_GBK" w:cs="方正黑体_GBK"/>
          <w:lang w:val="en-US" w:eastAsia="zh-CN"/>
        </w:rPr>
      </w:pPr>
      <w:bookmarkStart w:id="1" w:name="_Hlk137387343"/>
      <w:r>
        <w:rPr>
          <w:rFonts w:hint="eastAsia" w:ascii="宋体" w:hAnsi="宋体" w:eastAsia="方正黑体_GBK" w:cs="方正黑体_GBK"/>
          <w:lang w:val="en-US" w:eastAsia="zh-CN"/>
        </w:rPr>
        <w:t>四、认定程序</w:t>
      </w:r>
    </w:p>
    <w:p w14:paraId="42024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（一）认定主体</w:t>
      </w:r>
    </w:p>
    <w:p w14:paraId="5191F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各县（市、区）人民政府及各开发区管理委员会是辖区内低效用地的认定主体。</w:t>
      </w:r>
    </w:p>
    <w:p w14:paraId="357AD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楷体_GBK" w:cs="方正楷体_GBK"/>
          <w:lang w:val="en-US" w:eastAsia="zh-CN"/>
        </w:rPr>
      </w:pPr>
      <w:r>
        <w:rPr>
          <w:rFonts w:hint="eastAsia" w:ascii="宋体" w:hAnsi="宋体" w:eastAsia="方正楷体_GBK" w:cs="方正楷体_GBK"/>
          <w:lang w:val="en-US" w:eastAsia="zh-CN"/>
        </w:rPr>
        <w:t>（二）认定流程</w:t>
      </w:r>
    </w:p>
    <w:p w14:paraId="0D21C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县（市、区）自然资源主管部门及开发区管理委员会指定部门牵头，发展改革、工信、</w:t>
      </w:r>
      <w:r>
        <w:rPr>
          <w:rFonts w:hint="eastAsia" w:ascii="宋体" w:hAnsi="宋体" w:eastAsia="方正仿宋_GBK" w:cs="方正仿宋_GBK"/>
          <w:lang w:eastAsia="zh-CN"/>
        </w:rPr>
        <w:t>住建</w:t>
      </w:r>
      <w:r>
        <w:rPr>
          <w:rFonts w:hint="eastAsia" w:ascii="宋体" w:hAnsi="宋体" w:eastAsia="方正仿宋_GBK" w:cs="方正仿宋_GBK"/>
          <w:lang w:val="en-US" w:eastAsia="zh-CN"/>
        </w:rPr>
        <w:t>、生态环境、农业农村、科技、商务等部门按照职责分工，联合开展认定工作。经县（市、区）人民政府、管委会同意后，按要求逐级报送。州（市）自然资源主管部门要切实做好指导，并对上报成果完整真实性进行审查。产权主体对认定结果有异议的可以提出复核，县（市、区）人民政府或开发区管理委员会根据复核结果维持、调整或撤销原认定。</w:t>
      </w:r>
    </w:p>
    <w:p w14:paraId="728CF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黑体_GBK" w:cs="方正黑体_GBK"/>
          <w:lang w:val="en-US" w:eastAsia="zh-CN"/>
        </w:rPr>
      </w:pPr>
      <w:r>
        <w:rPr>
          <w:rFonts w:hint="eastAsia" w:ascii="宋体" w:hAnsi="宋体" w:eastAsia="方正黑体_GBK" w:cs="方正黑体_GBK"/>
          <w:lang w:val="en-US" w:eastAsia="zh-CN"/>
        </w:rPr>
        <w:t>五、工作要求</w:t>
      </w:r>
    </w:p>
    <w:p w14:paraId="63AF4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一）各地应建立工作机制，规范操作流程，按照“应调尽调、应认尽认”的原则，全面调查认定符合标准的低效用地，动态掌握汇总，逐级报送认定结果和盘活情况，并纳入自然资源管理与国土空间规划“一张图”监管，作为实施增存配比的依据。</w:t>
      </w:r>
    </w:p>
    <w:p w14:paraId="67EB8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二）各地可结合实际，根据本办法细化认定标准，产业用地容积率、亩均固定资产投资强度、亩均税收不得低于本办法确定的标准值。支持各地探索通过明确营业额、税收、空置率等指标值认定低效商业服务业用地。</w:t>
      </w:r>
    </w:p>
    <w:p w14:paraId="45DCA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（三）各地应按照依法依规、实事求是的原则，开展低效用地认定与盘活工作，确保认定结果和盘活成效真实可靠。严禁弄虚作假，一经发现，双倍扣减盘活数量，并严肃追究责任。</w:t>
      </w:r>
    </w:p>
    <w:bookmarkEnd w:id="1"/>
    <w:p w14:paraId="0B93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</w:rPr>
        <w:t>本</w:t>
      </w:r>
      <w:r>
        <w:rPr>
          <w:rFonts w:hint="eastAsia" w:ascii="宋体" w:hAnsi="宋体" w:eastAsia="方正仿宋_GBK" w:cs="方正仿宋_GBK"/>
          <w:lang w:val="en-US" w:eastAsia="zh-CN"/>
        </w:rPr>
        <w:t>办法</w:t>
      </w:r>
      <w:r>
        <w:rPr>
          <w:rFonts w:hint="eastAsia" w:ascii="宋体" w:hAnsi="宋体" w:eastAsia="方正仿宋_GBK" w:cs="方正仿宋_GBK"/>
        </w:rPr>
        <w:t>自202</w:t>
      </w:r>
      <w:r>
        <w:rPr>
          <w:rFonts w:hint="eastAsia" w:ascii="宋体" w:hAnsi="宋体" w:eastAsia="方正仿宋_GBK" w:cs="方正仿宋_GBK"/>
          <w:lang w:val="en-US" w:eastAsia="zh-CN"/>
        </w:rPr>
        <w:t>6</w:t>
      </w:r>
      <w:r>
        <w:rPr>
          <w:rFonts w:hint="eastAsia" w:ascii="宋体" w:hAnsi="宋体" w:eastAsia="方正仿宋_GBK" w:cs="方正仿宋_GBK"/>
        </w:rPr>
        <w:t>年</w:t>
      </w:r>
      <w:r>
        <w:rPr>
          <w:rFonts w:hint="eastAsia" w:ascii="宋体" w:hAnsi="宋体" w:eastAsia="方正仿宋_GBK" w:cs="方正仿宋_GBK"/>
          <w:lang w:val="en-US" w:eastAsia="zh-CN"/>
        </w:rPr>
        <w:t>8</w:t>
      </w:r>
      <w:r>
        <w:rPr>
          <w:rFonts w:hint="eastAsia" w:ascii="宋体" w:hAnsi="宋体" w:eastAsia="方正仿宋_GBK" w:cs="方正仿宋_GBK"/>
        </w:rPr>
        <w:t>月</w:t>
      </w:r>
      <w:r>
        <w:rPr>
          <w:rFonts w:hint="eastAsia" w:ascii="宋体" w:hAnsi="宋体" w:eastAsia="方正仿宋_GBK" w:cs="方正仿宋_GBK"/>
          <w:lang w:val="en-US" w:eastAsia="zh-CN"/>
        </w:rPr>
        <w:t>13</w:t>
      </w:r>
      <w:r>
        <w:rPr>
          <w:rFonts w:hint="eastAsia" w:ascii="宋体" w:hAnsi="宋体" w:eastAsia="方正仿宋_GBK" w:cs="方正仿宋_GBK"/>
        </w:rPr>
        <w:t>日起</w:t>
      </w:r>
      <w:r>
        <w:rPr>
          <w:rFonts w:hint="eastAsia" w:ascii="宋体" w:hAnsi="宋体" w:eastAsia="方正仿宋_GBK" w:cs="方正仿宋_GBK"/>
          <w:lang w:val="en-US" w:eastAsia="zh-CN"/>
        </w:rPr>
        <w:t>施</w:t>
      </w:r>
      <w:r>
        <w:rPr>
          <w:rFonts w:hint="eastAsia" w:ascii="宋体" w:hAnsi="宋体" w:eastAsia="方正仿宋_GBK" w:cs="方正仿宋_GBK"/>
        </w:rPr>
        <w:t>行</w:t>
      </w:r>
      <w:r>
        <w:rPr>
          <w:rFonts w:hint="eastAsia" w:ascii="宋体" w:hAnsi="宋体" w:eastAsia="方正仿宋_GBK" w:cs="方正仿宋_GBK"/>
          <w:lang w:val="en-US" w:eastAsia="zh-CN"/>
        </w:rPr>
        <w:t>。执行</w:t>
      </w:r>
      <w:r>
        <w:rPr>
          <w:rFonts w:hint="eastAsia" w:ascii="宋体" w:hAnsi="宋体" w:eastAsia="方正仿宋_GBK" w:cs="方正仿宋_GBK"/>
        </w:rPr>
        <w:t>期间如遇国家</w:t>
      </w:r>
      <w:r>
        <w:rPr>
          <w:rFonts w:hint="eastAsia" w:ascii="宋体" w:hAnsi="宋体" w:eastAsia="方正仿宋_GBK" w:cs="方正仿宋_GBK"/>
          <w:lang w:val="en-US" w:eastAsia="zh-CN"/>
        </w:rPr>
        <w:t>或省级</w:t>
      </w:r>
      <w:r>
        <w:rPr>
          <w:rFonts w:hint="eastAsia" w:ascii="宋体" w:hAnsi="宋体" w:eastAsia="方正仿宋_GBK" w:cs="方正仿宋_GBK"/>
        </w:rPr>
        <w:t>相关政策调整的，按照</w:t>
      </w:r>
      <w:r>
        <w:rPr>
          <w:rFonts w:hint="eastAsia" w:ascii="宋体" w:hAnsi="宋体" w:eastAsia="方正仿宋_GBK" w:cs="方正仿宋_GBK"/>
          <w:lang w:val="en-US" w:eastAsia="zh-CN"/>
        </w:rPr>
        <w:t>相关</w:t>
      </w:r>
      <w:r>
        <w:rPr>
          <w:rFonts w:hint="eastAsia" w:ascii="宋体" w:hAnsi="宋体" w:eastAsia="方正仿宋_GBK" w:cs="方正仿宋_GBK"/>
        </w:rPr>
        <w:t>规定执行。</w:t>
      </w:r>
    </w:p>
    <w:p w14:paraId="11311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br w:type="page"/>
      </w:r>
      <w:r>
        <w:rPr>
          <w:rFonts w:hint="eastAsia" w:ascii="宋体" w:hAnsi="宋体" w:eastAsia="方正黑体_GBK" w:cs="方正黑体_GBK"/>
          <w:lang w:val="en-US" w:eastAsia="zh-CN"/>
        </w:rPr>
        <w:t>附表1</w:t>
      </w:r>
    </w:p>
    <w:p w14:paraId="788BFD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="宋体" w:hAnsi="宋体"/>
          <w:lang w:val="en-US" w:eastAsia="zh-CN"/>
        </w:rPr>
      </w:pPr>
    </w:p>
    <w:p w14:paraId="4EC09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方正小标宋_GBK" w:cs="方正小标宋_GBK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分行业容积率指标控制值</w:t>
      </w:r>
    </w:p>
    <w:tbl>
      <w:tblPr>
        <w:tblStyle w:val="6"/>
        <w:tblW w:w="507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5700"/>
        <w:gridCol w:w="1248"/>
      </w:tblGrid>
      <w:tr w14:paraId="1077D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tblHeader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8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7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行业名称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86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控制值</w:t>
            </w:r>
          </w:p>
        </w:tc>
      </w:tr>
      <w:tr w14:paraId="1693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5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DB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农副食品加工业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C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≥1.0</w:t>
            </w:r>
          </w:p>
        </w:tc>
      </w:tr>
      <w:tr w14:paraId="78AD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37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68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≥1.0</w:t>
            </w:r>
          </w:p>
        </w:tc>
      </w:tr>
      <w:tr w14:paraId="7FBD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4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酒、饮料和精制茶制造业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3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≥1.0</w:t>
            </w:r>
          </w:p>
        </w:tc>
      </w:tr>
      <w:tr w14:paraId="4C6E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88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90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烟草制品业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D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≥1.0</w:t>
            </w:r>
          </w:p>
        </w:tc>
      </w:tr>
      <w:tr w14:paraId="0942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6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FB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纺织业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F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≥0.9</w:t>
            </w:r>
          </w:p>
        </w:tc>
      </w:tr>
      <w:tr w14:paraId="43A1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C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8C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纺织服装、服饰业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D9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≥1.1</w:t>
            </w:r>
          </w:p>
        </w:tc>
      </w:tr>
      <w:tr w14:paraId="3F405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6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皮革、毛皮、羽毛及其制品和制鞋业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0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≥1.1</w:t>
            </w:r>
          </w:p>
        </w:tc>
      </w:tr>
      <w:tr w14:paraId="1253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70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D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木材加工和木、竹、藤、棕、草制品业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5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≥0.9</w:t>
            </w:r>
          </w:p>
        </w:tc>
      </w:tr>
      <w:tr w14:paraId="77CA7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B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46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家具制造业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1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≥0.9</w:t>
            </w:r>
          </w:p>
        </w:tc>
      </w:tr>
      <w:tr w14:paraId="4CEB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2E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E4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造纸和纸制品业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0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352A8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D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3D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印刷和记录媒介复制业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D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≥0.9</w:t>
            </w:r>
          </w:p>
        </w:tc>
      </w:tr>
      <w:tr w14:paraId="2D4D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1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7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文教、工美、体育和娱乐用品制造业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6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≥1.1</w:t>
            </w:r>
          </w:p>
        </w:tc>
      </w:tr>
      <w:tr w14:paraId="189A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6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石油、煤炭及其他燃料加工业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2C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≥0.5</w:t>
            </w:r>
          </w:p>
        </w:tc>
      </w:tr>
      <w:tr w14:paraId="302D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59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化学原料和化学制品制造业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C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≥0.6</w:t>
            </w:r>
          </w:p>
        </w:tc>
      </w:tr>
      <w:tr w14:paraId="25E2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62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37257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8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4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化学纤维制造业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37C5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5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橡胶和塑料制品业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5D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≥0.9</w:t>
            </w:r>
          </w:p>
        </w:tc>
      </w:tr>
      <w:tr w14:paraId="110C1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A1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非金属矿物制品业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A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0B5B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C9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黑色金属冶炼和压延加工业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0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≥0.6</w:t>
            </w:r>
          </w:p>
        </w:tc>
      </w:tr>
      <w:tr w14:paraId="6F954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0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有色金属冶炼和压延加工业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45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≥0.6</w:t>
            </w:r>
          </w:p>
        </w:tc>
      </w:tr>
      <w:tr w14:paraId="22EA8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金属制品业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D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64AF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5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1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通用设备制造业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3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1874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E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专用设备制造业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3F5D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E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汽车制造业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3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47C54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DE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58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铁路、船舶、航空航天和其他运输设备制造业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9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201C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8A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C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电气机械和器材制造业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A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433D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E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2C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计算机、通信和其他电子设备制造业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DE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≥1.1</w:t>
            </w:r>
          </w:p>
        </w:tc>
      </w:tr>
      <w:tr w14:paraId="4F94D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84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35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仪器仪表制造业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6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≥1.1</w:t>
            </w:r>
          </w:p>
        </w:tc>
      </w:tr>
      <w:tr w14:paraId="2A2B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5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7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其他制造业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C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6AA01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废弃资源综合利用业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F8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  <w:tr w14:paraId="546F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3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51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金属制品、机械和设备修理业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7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≥0.8</w:t>
            </w:r>
          </w:p>
        </w:tc>
      </w:tr>
    </w:tbl>
    <w:p w14:paraId="56192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 w:firstLineChars="200"/>
        <w:textAlignment w:val="auto"/>
        <w:rPr>
          <w:rFonts w:hint="eastAsia" w:ascii="宋体" w:hAnsi="宋体" w:eastAsia="方正仿宋_GBK" w:cs="方正仿宋_GBK"/>
          <w:spacing w:val="-6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方正仿宋_GBK"/>
          <w:spacing w:val="-6"/>
          <w:sz w:val="28"/>
          <w:szCs w:val="28"/>
          <w:lang w:val="en-US" w:eastAsia="zh-CN"/>
        </w:rPr>
        <w:t>注：1.</w:t>
      </w:r>
      <w:r>
        <w:rPr>
          <w:rFonts w:hint="eastAsia" w:ascii="宋体" w:hAnsi="宋体" w:eastAsia="方正仿宋_GBK" w:cs="方正仿宋_GBK"/>
          <w:spacing w:val="-6"/>
          <w:sz w:val="28"/>
          <w:szCs w:val="28"/>
        </w:rPr>
        <w:t>本表引自《自然资源部关于发布〈工业项目建设用地控制指标〉的通知》（自然资发〔2023〕72号）</w:t>
      </w:r>
      <w:r>
        <w:rPr>
          <w:rFonts w:hint="eastAsia" w:ascii="宋体" w:hAnsi="宋体" w:eastAsia="方正仿宋_GBK" w:cs="方正仿宋_GBK"/>
          <w:spacing w:val="-6"/>
          <w:sz w:val="28"/>
          <w:szCs w:val="28"/>
          <w:lang w:eastAsia="zh-CN"/>
        </w:rPr>
        <w:t>。</w:t>
      </w:r>
    </w:p>
    <w:p w14:paraId="4ACA4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eastAsia" w:ascii="宋体" w:hAnsi="宋体"/>
        </w:rPr>
      </w:pPr>
    </w:p>
    <w:p w14:paraId="0DCCB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textAlignment w:val="auto"/>
        <w:rPr>
          <w:rFonts w:hint="eastAsia" w:ascii="宋体" w:hAnsi="宋体"/>
        </w:rPr>
        <w:sectPr>
          <w:footerReference r:id="rId3" w:type="default"/>
          <w:pgSz w:w="11906" w:h="16838"/>
          <w:pgMar w:top="2098" w:right="1474" w:bottom="1985" w:left="1588" w:header="851" w:footer="1814" w:gutter="0"/>
          <w:pgNumType w:fmt="decimal"/>
          <w:cols w:space="720" w:num="1"/>
          <w:docGrid w:type="linesAndChars" w:linePitch="574" w:charSpace="-1683"/>
        </w:sectPr>
      </w:pPr>
    </w:p>
    <w:p w14:paraId="4E4B3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方正黑体_GBK" w:cs="方正黑体_GBK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附表2</w:t>
      </w:r>
    </w:p>
    <w:p w14:paraId="43FF4B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分行业固定资产投资强度指标表</w:t>
      </w:r>
    </w:p>
    <w:p w14:paraId="18336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/>
        <w:jc w:val="right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单位：万元/公顷</w:t>
      </w:r>
    </w:p>
    <w:tbl>
      <w:tblPr>
        <w:tblStyle w:val="6"/>
        <w:tblW w:w="550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3293"/>
        <w:gridCol w:w="1377"/>
        <w:gridCol w:w="1134"/>
        <w:gridCol w:w="994"/>
        <w:gridCol w:w="1074"/>
        <w:gridCol w:w="1177"/>
        <w:gridCol w:w="1237"/>
        <w:gridCol w:w="1228"/>
        <w:gridCol w:w="1700"/>
      </w:tblGrid>
      <w:tr w14:paraId="6C3B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E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  <w:t>代码</w:t>
            </w:r>
          </w:p>
        </w:tc>
        <w:tc>
          <w:tcPr>
            <w:tcW w:w="11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F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行业名称</w:t>
            </w:r>
          </w:p>
        </w:tc>
        <w:tc>
          <w:tcPr>
            <w:tcW w:w="347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推荐值</w:t>
            </w:r>
          </w:p>
        </w:tc>
      </w:tr>
      <w:tr w14:paraId="02C97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tblHeader/>
          <w:jc w:val="center"/>
        </w:trPr>
        <w:tc>
          <w:tcPr>
            <w:tcW w:w="3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7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</w:p>
        </w:tc>
        <w:tc>
          <w:tcPr>
            <w:tcW w:w="1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1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</w:p>
        </w:tc>
        <w:tc>
          <w:tcPr>
            <w:tcW w:w="287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5C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制造业项目</w:t>
            </w:r>
          </w:p>
        </w:tc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6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战略性新兴产业、先进制造业项目</w:t>
            </w:r>
          </w:p>
        </w:tc>
      </w:tr>
      <w:tr w14:paraId="0E9A9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AF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</w:p>
        </w:tc>
        <w:tc>
          <w:tcPr>
            <w:tcW w:w="1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89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3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第一、二、三、四等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5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第五、六等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0A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第七、八等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09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第九、十等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F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第十一、十二等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第十三、十四等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65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第十五等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81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097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61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3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农副食品加工业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8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07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34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C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A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≥750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68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5091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4805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CD0A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3B8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93DB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553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FB3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在工业项目基础上按照对应的行业整体上浮 5%至10%。</w:t>
            </w:r>
          </w:p>
          <w:p w14:paraId="5E220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EAC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3791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70D4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A91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B2F5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9833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FB8D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F72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B25B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1B7F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D1A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86E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9CC5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E84B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A883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EDF2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468B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B06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在工业项目基础上按照对应的行业整体上浮 5%至10%。</w:t>
            </w:r>
          </w:p>
        </w:tc>
      </w:tr>
      <w:tr w14:paraId="31EF3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0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5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C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83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9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9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D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≥790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1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D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C1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A4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A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酒、饮料和精制茶制造业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0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C2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4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B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8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≥750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81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75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6D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2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4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25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≥3400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D5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≥3070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31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3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2E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B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≥650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91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45C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0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B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71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90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≥2600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D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60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C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1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≥820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C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F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55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8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15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纺织服装、服饰业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30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04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≥2600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30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7D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3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DF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F1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2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A506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95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2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皮革、毛皮、羽毛及其制品和制鞋业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68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05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0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0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≥680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D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17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38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8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木材加工和木、竹、藤、棕、草制品业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5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2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≥1520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3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≥1220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D1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≥860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01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≥630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4F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F1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72E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BA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65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D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3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F7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≥640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6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3C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3C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E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EA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造纸和纸制品业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3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5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79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B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9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≥790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3D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74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C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印刷和记录媒介复制业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C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≥3400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F3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≥3070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A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C5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63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A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≥860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27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58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6F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82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1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文教、工美、体育和娱乐用品制造业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8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D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≥2600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5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E1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7D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A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≥700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1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0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EC2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A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04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石油、煤炭及其他燃料加工业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C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≥3400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1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≥3070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A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7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C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≥900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7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7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710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D1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86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化学原料和化学制品制造业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1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≥3400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12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≥3070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8C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D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E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≥820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8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A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F52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84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C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医药制造业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CE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4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A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C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1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5E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≥1300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E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E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63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6E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化学纤维制造业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C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≥4440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≥4190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BF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≥3980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0D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≥3640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C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≥2950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C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≥1300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C4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E0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04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91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5E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橡胶和塑料制品业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A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2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≥2600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64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0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4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DD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≥1250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27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F5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91A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A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F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非金属矿物制品业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4B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3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≥1520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0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≥1410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86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≥1220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6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≥860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A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≥810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A8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5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02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C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D8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黑色金属冶炼和压延加工业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E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10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D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1A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24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9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≥1170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8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BE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451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有色金属冶炼和压延加工业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0E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5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A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F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≥940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B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90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DD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DB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D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金属制品业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≥3400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≥3070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5C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7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≥2460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C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≥2100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9A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≥1080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82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E5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D9F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3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通用设备制造业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6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6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FC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4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43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≥1130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3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91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E6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A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专用设备制造业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05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4D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EF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B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27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6D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≥1230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C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2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5BB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5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2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≥4440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47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≥4190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5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≥3980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E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≥3640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C9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≥2950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0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≥1230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3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911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A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铁路、船舶、航空航天和其他运输设备制造业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0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≥4440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5D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≥4190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≥3980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5E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≥3640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C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≥2950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D4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≥2050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EC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7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C32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6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7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电气机械和器材制造业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9C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≥4440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32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≥4190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≥3980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B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≥3640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7D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≥2950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≥1600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6C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4D5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F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4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计算机、通信和其他电子设备制造业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F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≥5590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≥4590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35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≥4250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9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≥3670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7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D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≥1420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D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A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E5B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F0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AC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仪器仪表制造业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8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≥3890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25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≥3580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62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≥3540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EA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≥3360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4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≥2870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≥1870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D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B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854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F9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5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其他制造业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6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4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5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F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41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5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≥610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8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1F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D39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4B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C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废弃资源综合利用业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10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31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1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BC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1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≥610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3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65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B00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3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2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金属制品、机械和设备修理业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≥2670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≥2030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≥1880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0B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≥1700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C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≥1200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≥610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88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≥500</w:t>
            </w: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CB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宋体" w:hAnsi="宋体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4DDAC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方正仿宋_GBK" w:cs="方正仿宋_GBK"/>
          <w:sz w:val="26"/>
          <w:szCs w:val="26"/>
          <w:lang w:val="en-US" w:eastAsia="zh-CN"/>
        </w:rPr>
      </w:pPr>
      <w:r>
        <w:rPr>
          <w:rFonts w:hint="eastAsia" w:ascii="宋体" w:hAnsi="宋体" w:eastAsia="方正仿宋_GBK" w:cs="方正仿宋_GBK"/>
          <w:sz w:val="26"/>
          <w:szCs w:val="26"/>
          <w:lang w:val="en-US" w:eastAsia="zh-CN"/>
        </w:rPr>
        <w:t>注：1.</w:t>
      </w:r>
      <w:r>
        <w:rPr>
          <w:rFonts w:hint="eastAsia" w:ascii="宋体" w:hAnsi="宋体" w:eastAsia="方正仿宋_GBK" w:cs="方正仿宋_GBK"/>
          <w:sz w:val="26"/>
          <w:szCs w:val="26"/>
        </w:rPr>
        <w:t>本表引自《自然资源部关于发布〈工业项目建设用地控制指标〉的通知》（自然资发〔2023〕72号）</w:t>
      </w:r>
      <w:r>
        <w:rPr>
          <w:rFonts w:hint="eastAsia" w:ascii="宋体" w:hAnsi="宋体" w:eastAsia="方正仿宋_GBK" w:cs="方正仿宋_GBK"/>
          <w:sz w:val="26"/>
          <w:szCs w:val="26"/>
          <w:lang w:eastAsia="zh-CN"/>
        </w:rPr>
        <w:t>；</w:t>
      </w:r>
    </w:p>
    <w:p w14:paraId="02BA9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" w:firstLineChars="200"/>
        <w:textAlignment w:val="auto"/>
        <w:rPr>
          <w:rFonts w:hint="eastAsia" w:ascii="宋体" w:hAnsi="宋体" w:eastAsia="方正仿宋_GBK" w:cs="方正仿宋_GBK"/>
          <w:sz w:val="26"/>
          <w:szCs w:val="26"/>
          <w:lang w:val="en-US" w:eastAsia="zh-CN"/>
        </w:rPr>
      </w:pPr>
      <w:r>
        <w:rPr>
          <w:rFonts w:hint="eastAsia" w:ascii="宋体" w:hAnsi="宋体" w:eastAsia="方正仿宋_GBK" w:cs="方正仿宋_GBK"/>
          <w:sz w:val="26"/>
          <w:szCs w:val="26"/>
          <w:lang w:val="en-US" w:eastAsia="zh-CN"/>
        </w:rPr>
        <w:t>2.土地等别依据《城镇土地分等定级规程》（GB/T18507）划分的城镇土地等别执行。</w:t>
      </w:r>
    </w:p>
    <w:p w14:paraId="27B20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方正仿宋_GBK" w:cs="方正仿宋_GBK"/>
          <w:sz w:val="26"/>
          <w:szCs w:val="26"/>
        </w:rPr>
        <w:sectPr>
          <w:footerReference r:id="rId4" w:type="default"/>
          <w:pgSz w:w="16838" w:h="11906" w:orient="landscape"/>
          <w:pgMar w:top="1588" w:right="2098" w:bottom="1474" w:left="1985" w:header="851" w:footer="850" w:gutter="0"/>
          <w:pgNumType w:fmt="decimal"/>
          <w:cols w:space="720" w:num="1"/>
          <w:docGrid w:type="linesAndChars" w:linePitch="574" w:charSpace="-1683"/>
        </w:sectPr>
      </w:pPr>
    </w:p>
    <w:p w14:paraId="7C1E9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附表3</w:t>
      </w:r>
    </w:p>
    <w:p w14:paraId="32BEF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="宋体" w:hAnsi="宋体"/>
        </w:rPr>
      </w:pPr>
    </w:p>
    <w:p w14:paraId="0DFC1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color w:val="auto"/>
          <w:sz w:val="36"/>
          <w:szCs w:val="36"/>
          <w:highlight w:val="none"/>
        </w:rPr>
        <w:t>云南省工业项目“标准地”</w:t>
      </w:r>
      <w:r>
        <w:rPr>
          <w:rFonts w:hint="eastAsia" w:ascii="宋体" w:hAnsi="宋体" w:eastAsia="方正小标宋_GBK" w:cs="方正小标宋_GBK"/>
          <w:b w:val="0"/>
          <w:color w:val="auto"/>
          <w:sz w:val="36"/>
          <w:szCs w:val="36"/>
          <w:highlight w:val="none"/>
          <w:lang w:val="en-US" w:eastAsia="zh-CN"/>
        </w:rPr>
        <w:t>亩均税收控制指标</w:t>
      </w:r>
    </w:p>
    <w:p w14:paraId="657A4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/>
        <w:jc w:val="right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单位：万元/亩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5800"/>
        <w:gridCol w:w="1360"/>
      </w:tblGrid>
      <w:tr w14:paraId="1661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Header/>
          <w:jc w:val="center"/>
        </w:trPr>
        <w:tc>
          <w:tcPr>
            <w:tcW w:w="798" w:type="pct"/>
            <w:noWrap w:val="0"/>
            <w:vAlign w:val="center"/>
          </w:tcPr>
          <w:p w14:paraId="1955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制造业</w:t>
            </w:r>
          </w:p>
          <w:p w14:paraId="12A4D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行业代码</w:t>
            </w:r>
          </w:p>
        </w:tc>
        <w:tc>
          <w:tcPr>
            <w:tcW w:w="3403" w:type="pct"/>
            <w:noWrap w:val="0"/>
            <w:vAlign w:val="center"/>
          </w:tcPr>
          <w:p w14:paraId="6A0D1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制造业行业名称</w:t>
            </w:r>
          </w:p>
        </w:tc>
        <w:tc>
          <w:tcPr>
            <w:tcW w:w="798" w:type="pct"/>
            <w:noWrap w:val="0"/>
            <w:vAlign w:val="center"/>
          </w:tcPr>
          <w:p w14:paraId="100AD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亩均税收</w:t>
            </w:r>
          </w:p>
        </w:tc>
      </w:tr>
      <w:tr w14:paraId="7485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58A2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403" w:type="pct"/>
            <w:noWrap w:val="0"/>
            <w:vAlign w:val="center"/>
          </w:tcPr>
          <w:p w14:paraId="1C03A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农副食品加工业</w:t>
            </w:r>
          </w:p>
        </w:tc>
        <w:tc>
          <w:tcPr>
            <w:tcW w:w="798" w:type="pct"/>
            <w:noWrap/>
            <w:vAlign w:val="center"/>
          </w:tcPr>
          <w:p w14:paraId="37CD7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2.79</w:t>
            </w:r>
          </w:p>
        </w:tc>
      </w:tr>
      <w:tr w14:paraId="4662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542C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403" w:type="pct"/>
            <w:noWrap w:val="0"/>
            <w:vAlign w:val="center"/>
          </w:tcPr>
          <w:p w14:paraId="42BF5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798" w:type="pct"/>
            <w:noWrap/>
            <w:vAlign w:val="center"/>
          </w:tcPr>
          <w:p w14:paraId="749CC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8.99</w:t>
            </w:r>
          </w:p>
        </w:tc>
      </w:tr>
      <w:tr w14:paraId="6649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55D4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403" w:type="pct"/>
            <w:noWrap w:val="0"/>
            <w:vAlign w:val="center"/>
          </w:tcPr>
          <w:p w14:paraId="002B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酒、饮料和精制茶制造业</w:t>
            </w:r>
          </w:p>
        </w:tc>
        <w:tc>
          <w:tcPr>
            <w:tcW w:w="798" w:type="pct"/>
            <w:noWrap/>
            <w:vAlign w:val="center"/>
          </w:tcPr>
          <w:p w14:paraId="3C3B6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9.88</w:t>
            </w:r>
          </w:p>
        </w:tc>
      </w:tr>
      <w:tr w14:paraId="1F760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885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403" w:type="pct"/>
            <w:noWrap w:val="0"/>
            <w:vAlign w:val="center"/>
          </w:tcPr>
          <w:p w14:paraId="31A52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烟草制品业</w:t>
            </w:r>
          </w:p>
        </w:tc>
        <w:tc>
          <w:tcPr>
            <w:tcW w:w="798" w:type="pct"/>
            <w:noWrap/>
            <w:vAlign w:val="center"/>
          </w:tcPr>
          <w:p w14:paraId="02C2B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220.00</w:t>
            </w:r>
          </w:p>
        </w:tc>
      </w:tr>
      <w:tr w14:paraId="3436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0B2F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403" w:type="pct"/>
            <w:noWrap w:val="0"/>
            <w:vAlign w:val="center"/>
          </w:tcPr>
          <w:p w14:paraId="545C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纺织业</w:t>
            </w:r>
          </w:p>
        </w:tc>
        <w:tc>
          <w:tcPr>
            <w:tcW w:w="798" w:type="pct"/>
            <w:noWrap/>
            <w:vAlign w:val="center"/>
          </w:tcPr>
          <w:p w14:paraId="79AAC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5.70</w:t>
            </w:r>
          </w:p>
        </w:tc>
      </w:tr>
      <w:tr w14:paraId="15116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2814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403" w:type="pct"/>
            <w:noWrap w:val="0"/>
            <w:vAlign w:val="center"/>
          </w:tcPr>
          <w:p w14:paraId="5032D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纺织服装、服饰业</w:t>
            </w:r>
          </w:p>
        </w:tc>
        <w:tc>
          <w:tcPr>
            <w:tcW w:w="798" w:type="pct"/>
            <w:noWrap/>
            <w:vAlign w:val="center"/>
          </w:tcPr>
          <w:p w14:paraId="4C36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8.28</w:t>
            </w:r>
          </w:p>
        </w:tc>
      </w:tr>
      <w:tr w14:paraId="065A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723A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403" w:type="pct"/>
            <w:noWrap w:val="0"/>
            <w:vAlign w:val="center"/>
          </w:tcPr>
          <w:p w14:paraId="70A8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皮革、毛皮、羽毛及其制品和制鞋业</w:t>
            </w:r>
          </w:p>
        </w:tc>
        <w:tc>
          <w:tcPr>
            <w:tcW w:w="798" w:type="pct"/>
            <w:noWrap/>
            <w:vAlign w:val="center"/>
          </w:tcPr>
          <w:p w14:paraId="3A730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8.95</w:t>
            </w:r>
          </w:p>
        </w:tc>
      </w:tr>
      <w:tr w14:paraId="4FE3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186C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403" w:type="pct"/>
            <w:noWrap w:val="0"/>
            <w:vAlign w:val="center"/>
          </w:tcPr>
          <w:p w14:paraId="5BDD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木材加工和木、竹、藤、棕、草制品业</w:t>
            </w:r>
          </w:p>
        </w:tc>
        <w:tc>
          <w:tcPr>
            <w:tcW w:w="798" w:type="pct"/>
            <w:noWrap/>
            <w:vAlign w:val="center"/>
          </w:tcPr>
          <w:p w14:paraId="7B0B4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6.00</w:t>
            </w:r>
          </w:p>
        </w:tc>
      </w:tr>
      <w:tr w14:paraId="1A64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27BF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403" w:type="pct"/>
            <w:noWrap w:val="0"/>
            <w:vAlign w:val="center"/>
          </w:tcPr>
          <w:p w14:paraId="6F95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家具制造业</w:t>
            </w:r>
          </w:p>
        </w:tc>
        <w:tc>
          <w:tcPr>
            <w:tcW w:w="798" w:type="pct"/>
            <w:noWrap/>
            <w:vAlign w:val="center"/>
          </w:tcPr>
          <w:p w14:paraId="34547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7.81</w:t>
            </w:r>
          </w:p>
        </w:tc>
      </w:tr>
      <w:tr w14:paraId="2B22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94AE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403" w:type="pct"/>
            <w:noWrap w:val="0"/>
            <w:vAlign w:val="center"/>
          </w:tcPr>
          <w:p w14:paraId="3A42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造纸和纸制品业</w:t>
            </w:r>
          </w:p>
        </w:tc>
        <w:tc>
          <w:tcPr>
            <w:tcW w:w="798" w:type="pct"/>
            <w:noWrap/>
            <w:vAlign w:val="center"/>
          </w:tcPr>
          <w:p w14:paraId="5E05A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5.24</w:t>
            </w:r>
          </w:p>
        </w:tc>
      </w:tr>
      <w:tr w14:paraId="7C56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5C5D7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403" w:type="pct"/>
            <w:noWrap w:val="0"/>
            <w:vAlign w:val="center"/>
          </w:tcPr>
          <w:p w14:paraId="51708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印刷和记录媒介复制业</w:t>
            </w:r>
          </w:p>
        </w:tc>
        <w:tc>
          <w:tcPr>
            <w:tcW w:w="798" w:type="pct"/>
            <w:noWrap/>
            <w:vAlign w:val="center"/>
          </w:tcPr>
          <w:p w14:paraId="5AABB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9.86</w:t>
            </w:r>
          </w:p>
        </w:tc>
      </w:tr>
      <w:tr w14:paraId="60E5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96DE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403" w:type="pct"/>
            <w:noWrap w:val="0"/>
            <w:vAlign w:val="center"/>
          </w:tcPr>
          <w:p w14:paraId="6D65D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文教、工美、体育和娱乐用品制造业</w:t>
            </w:r>
          </w:p>
        </w:tc>
        <w:tc>
          <w:tcPr>
            <w:tcW w:w="798" w:type="pct"/>
            <w:noWrap/>
            <w:vAlign w:val="center"/>
          </w:tcPr>
          <w:p w14:paraId="168F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9.07</w:t>
            </w:r>
          </w:p>
        </w:tc>
      </w:tr>
      <w:tr w14:paraId="2426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45B9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403" w:type="pct"/>
            <w:noWrap w:val="0"/>
            <w:vAlign w:val="center"/>
          </w:tcPr>
          <w:p w14:paraId="60C27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石油、煤炭及其他燃料加工业</w:t>
            </w:r>
          </w:p>
        </w:tc>
        <w:tc>
          <w:tcPr>
            <w:tcW w:w="798" w:type="pct"/>
            <w:noWrap/>
            <w:vAlign w:val="center"/>
          </w:tcPr>
          <w:p w14:paraId="5CB27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171.59</w:t>
            </w:r>
          </w:p>
        </w:tc>
      </w:tr>
      <w:tr w14:paraId="2E49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214C4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403" w:type="pct"/>
            <w:noWrap w:val="0"/>
            <w:vAlign w:val="center"/>
          </w:tcPr>
          <w:p w14:paraId="5DA7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化学原料和化学制品制造业</w:t>
            </w:r>
          </w:p>
        </w:tc>
        <w:tc>
          <w:tcPr>
            <w:tcW w:w="798" w:type="pct"/>
            <w:noWrap/>
            <w:vAlign w:val="center"/>
          </w:tcPr>
          <w:p w14:paraId="49DB9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9.99</w:t>
            </w:r>
          </w:p>
        </w:tc>
      </w:tr>
      <w:tr w14:paraId="39A9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274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403" w:type="pct"/>
            <w:noWrap w:val="0"/>
            <w:vAlign w:val="center"/>
          </w:tcPr>
          <w:p w14:paraId="1BF5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医药制造业</w:t>
            </w:r>
          </w:p>
        </w:tc>
        <w:tc>
          <w:tcPr>
            <w:tcW w:w="798" w:type="pct"/>
            <w:noWrap/>
            <w:vAlign w:val="center"/>
          </w:tcPr>
          <w:p w14:paraId="45CF9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18.32</w:t>
            </w:r>
          </w:p>
        </w:tc>
      </w:tr>
      <w:tr w14:paraId="6935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12DF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403" w:type="pct"/>
            <w:noWrap w:val="0"/>
            <w:vAlign w:val="center"/>
          </w:tcPr>
          <w:p w14:paraId="176C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化学纤维制造业</w:t>
            </w:r>
          </w:p>
        </w:tc>
        <w:tc>
          <w:tcPr>
            <w:tcW w:w="798" w:type="pct"/>
            <w:noWrap/>
            <w:vAlign w:val="center"/>
          </w:tcPr>
          <w:p w14:paraId="28CBC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56.83</w:t>
            </w:r>
          </w:p>
        </w:tc>
      </w:tr>
      <w:tr w14:paraId="6649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E3D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403" w:type="pct"/>
            <w:noWrap w:val="0"/>
            <w:vAlign w:val="center"/>
          </w:tcPr>
          <w:p w14:paraId="565F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橡胶和塑料制品业</w:t>
            </w:r>
          </w:p>
        </w:tc>
        <w:tc>
          <w:tcPr>
            <w:tcW w:w="798" w:type="pct"/>
            <w:noWrap/>
            <w:vAlign w:val="center"/>
          </w:tcPr>
          <w:p w14:paraId="4D85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8.00</w:t>
            </w:r>
          </w:p>
        </w:tc>
      </w:tr>
      <w:tr w14:paraId="7259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1CC25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403" w:type="pct"/>
            <w:noWrap w:val="0"/>
            <w:vAlign w:val="center"/>
          </w:tcPr>
          <w:p w14:paraId="6EE21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非金属矿物制品业</w:t>
            </w:r>
          </w:p>
        </w:tc>
        <w:tc>
          <w:tcPr>
            <w:tcW w:w="798" w:type="pct"/>
            <w:noWrap/>
            <w:vAlign w:val="center"/>
          </w:tcPr>
          <w:p w14:paraId="5D38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10.01</w:t>
            </w:r>
          </w:p>
        </w:tc>
      </w:tr>
      <w:tr w14:paraId="3EC7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7898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403" w:type="pct"/>
            <w:noWrap w:val="0"/>
            <w:vAlign w:val="center"/>
          </w:tcPr>
          <w:p w14:paraId="27A10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黑色金属冶炼和压延加工业</w:t>
            </w:r>
          </w:p>
        </w:tc>
        <w:tc>
          <w:tcPr>
            <w:tcW w:w="798" w:type="pct"/>
            <w:noWrap/>
            <w:vAlign w:val="center"/>
          </w:tcPr>
          <w:p w14:paraId="3C8C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5.72</w:t>
            </w:r>
          </w:p>
        </w:tc>
      </w:tr>
      <w:tr w14:paraId="50CD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FAAB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403" w:type="pct"/>
            <w:noWrap w:val="0"/>
            <w:vAlign w:val="center"/>
          </w:tcPr>
          <w:p w14:paraId="21557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有色金属冶炼和压延加工业</w:t>
            </w:r>
          </w:p>
        </w:tc>
        <w:tc>
          <w:tcPr>
            <w:tcW w:w="798" w:type="pct"/>
            <w:noWrap/>
            <w:vAlign w:val="center"/>
          </w:tcPr>
          <w:p w14:paraId="13694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7.10</w:t>
            </w:r>
          </w:p>
        </w:tc>
      </w:tr>
      <w:tr w14:paraId="3EDE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3651A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403" w:type="pct"/>
            <w:noWrap w:val="0"/>
            <w:vAlign w:val="center"/>
          </w:tcPr>
          <w:p w14:paraId="6DD0D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金属制品业</w:t>
            </w:r>
          </w:p>
        </w:tc>
        <w:tc>
          <w:tcPr>
            <w:tcW w:w="798" w:type="pct"/>
            <w:noWrap/>
            <w:vAlign w:val="center"/>
          </w:tcPr>
          <w:p w14:paraId="00C0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7.31</w:t>
            </w:r>
          </w:p>
        </w:tc>
      </w:tr>
      <w:tr w14:paraId="0158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59D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403" w:type="pct"/>
            <w:noWrap w:val="0"/>
            <w:vAlign w:val="center"/>
          </w:tcPr>
          <w:p w14:paraId="6668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通用设备制造业</w:t>
            </w:r>
          </w:p>
        </w:tc>
        <w:tc>
          <w:tcPr>
            <w:tcW w:w="798" w:type="pct"/>
            <w:noWrap/>
            <w:vAlign w:val="center"/>
          </w:tcPr>
          <w:p w14:paraId="42C9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5.65</w:t>
            </w:r>
          </w:p>
        </w:tc>
      </w:tr>
      <w:tr w14:paraId="63D12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2E618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403" w:type="pct"/>
            <w:noWrap w:val="0"/>
            <w:vAlign w:val="center"/>
          </w:tcPr>
          <w:p w14:paraId="4B6CF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专用设备制造业</w:t>
            </w:r>
          </w:p>
        </w:tc>
        <w:tc>
          <w:tcPr>
            <w:tcW w:w="798" w:type="pct"/>
            <w:noWrap/>
            <w:vAlign w:val="center"/>
          </w:tcPr>
          <w:p w14:paraId="6E2B3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8.88</w:t>
            </w:r>
          </w:p>
        </w:tc>
      </w:tr>
      <w:tr w14:paraId="56BB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495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403" w:type="pct"/>
            <w:noWrap w:val="0"/>
            <w:vAlign w:val="center"/>
          </w:tcPr>
          <w:p w14:paraId="77878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汽车制造业</w:t>
            </w:r>
          </w:p>
        </w:tc>
        <w:tc>
          <w:tcPr>
            <w:tcW w:w="798" w:type="pct"/>
            <w:noWrap/>
            <w:vAlign w:val="center"/>
          </w:tcPr>
          <w:p w14:paraId="7A38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11.73</w:t>
            </w:r>
          </w:p>
        </w:tc>
      </w:tr>
      <w:tr w14:paraId="6257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79FF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403" w:type="pct"/>
            <w:noWrap w:val="0"/>
            <w:vAlign w:val="center"/>
          </w:tcPr>
          <w:p w14:paraId="6182A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铁路、船舶、航空航天和其他运输设备制造业</w:t>
            </w:r>
          </w:p>
        </w:tc>
        <w:tc>
          <w:tcPr>
            <w:tcW w:w="798" w:type="pct"/>
            <w:noWrap/>
            <w:vAlign w:val="center"/>
          </w:tcPr>
          <w:p w14:paraId="070C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4.03</w:t>
            </w:r>
          </w:p>
        </w:tc>
      </w:tr>
      <w:tr w14:paraId="052F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BF6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403" w:type="pct"/>
            <w:noWrap w:val="0"/>
            <w:vAlign w:val="center"/>
          </w:tcPr>
          <w:p w14:paraId="5641F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电气机械和器材制造业</w:t>
            </w:r>
          </w:p>
        </w:tc>
        <w:tc>
          <w:tcPr>
            <w:tcW w:w="798" w:type="pct"/>
            <w:noWrap/>
            <w:vAlign w:val="center"/>
          </w:tcPr>
          <w:p w14:paraId="4C281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11.88</w:t>
            </w:r>
          </w:p>
        </w:tc>
      </w:tr>
      <w:tr w14:paraId="70C0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33BDD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403" w:type="pct"/>
            <w:noWrap w:val="0"/>
            <w:vAlign w:val="center"/>
          </w:tcPr>
          <w:p w14:paraId="34A1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计算机、通信和其他电子设备制造业</w:t>
            </w:r>
          </w:p>
        </w:tc>
        <w:tc>
          <w:tcPr>
            <w:tcW w:w="798" w:type="pct"/>
            <w:noWrap/>
            <w:vAlign w:val="center"/>
          </w:tcPr>
          <w:p w14:paraId="6EDE9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25.54</w:t>
            </w:r>
          </w:p>
        </w:tc>
      </w:tr>
      <w:tr w14:paraId="4CE1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9010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403" w:type="pct"/>
            <w:noWrap w:val="0"/>
            <w:vAlign w:val="center"/>
          </w:tcPr>
          <w:p w14:paraId="65AA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仪器仪表制造业</w:t>
            </w:r>
          </w:p>
        </w:tc>
        <w:tc>
          <w:tcPr>
            <w:tcW w:w="798" w:type="pct"/>
            <w:noWrap/>
            <w:vAlign w:val="center"/>
          </w:tcPr>
          <w:p w14:paraId="44EC7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18.89</w:t>
            </w:r>
          </w:p>
        </w:tc>
      </w:tr>
      <w:tr w14:paraId="6D05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63987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403" w:type="pct"/>
            <w:noWrap w:val="0"/>
            <w:vAlign w:val="center"/>
          </w:tcPr>
          <w:p w14:paraId="50E5E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其他制造业</w:t>
            </w:r>
          </w:p>
        </w:tc>
        <w:tc>
          <w:tcPr>
            <w:tcW w:w="798" w:type="pct"/>
            <w:noWrap/>
            <w:vAlign w:val="center"/>
          </w:tcPr>
          <w:p w14:paraId="110FE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5.50</w:t>
            </w:r>
          </w:p>
        </w:tc>
      </w:tr>
      <w:tr w14:paraId="623F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50A4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403" w:type="pct"/>
            <w:noWrap w:val="0"/>
            <w:vAlign w:val="center"/>
          </w:tcPr>
          <w:p w14:paraId="6131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废弃资源综合利用业</w:t>
            </w:r>
          </w:p>
        </w:tc>
        <w:tc>
          <w:tcPr>
            <w:tcW w:w="798" w:type="pct"/>
            <w:noWrap/>
            <w:vAlign w:val="center"/>
          </w:tcPr>
          <w:p w14:paraId="6F4F9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10.31</w:t>
            </w:r>
          </w:p>
        </w:tc>
      </w:tr>
      <w:tr w14:paraId="3CB27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8" w:type="pct"/>
            <w:noWrap w:val="0"/>
            <w:vAlign w:val="center"/>
          </w:tcPr>
          <w:p w14:paraId="0D037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403" w:type="pct"/>
            <w:noWrap w:val="0"/>
            <w:vAlign w:val="center"/>
          </w:tcPr>
          <w:p w14:paraId="6FAB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金属制品、机械和设备修理业</w:t>
            </w:r>
          </w:p>
        </w:tc>
        <w:tc>
          <w:tcPr>
            <w:tcW w:w="798" w:type="pct"/>
            <w:noWrap/>
            <w:vAlign w:val="center"/>
          </w:tcPr>
          <w:p w14:paraId="13C9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5.92</w:t>
            </w:r>
          </w:p>
        </w:tc>
      </w:tr>
    </w:tbl>
    <w:p w14:paraId="29421998">
      <w:pPr>
        <w:pStyle w:val="2"/>
        <w:ind w:left="0" w:leftChars="0" w:firstLine="536" w:firstLineChars="200"/>
        <w:rPr>
          <w:rFonts w:hint="default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注：本表引自《</w:t>
      </w:r>
      <w:r>
        <w:rPr>
          <w:rFonts w:hint="default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关于印发</w:t>
      </w:r>
      <w:r>
        <w:rPr>
          <w:rFonts w:hint="eastAsia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〈</w:t>
      </w:r>
      <w:r>
        <w:rPr>
          <w:rFonts w:hint="default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云南省工业项目“标准地”出让改革工作指引</w:t>
      </w:r>
      <w:r>
        <w:rPr>
          <w:rFonts w:hint="eastAsia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〉</w:t>
      </w:r>
      <w:r>
        <w:rPr>
          <w:rFonts w:hint="default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的通知</w:t>
      </w:r>
      <w:r>
        <w:rPr>
          <w:rFonts w:hint="eastAsia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》（</w:t>
      </w:r>
      <w:r>
        <w:rPr>
          <w:rFonts w:hint="default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云自然资〔2023〕32号</w:t>
      </w:r>
      <w:r>
        <w:rPr>
          <w:rFonts w:hint="eastAsia" w:ascii="宋体" w:hAnsi="宋体" w:eastAsia="方正仿宋_GBK" w:cs="方正仿宋_GBK"/>
          <w:spacing w:val="-6"/>
          <w:kern w:val="2"/>
          <w:sz w:val="28"/>
          <w:szCs w:val="28"/>
          <w:lang w:val="en-US" w:eastAsia="zh-CN" w:bidi="ar-SA"/>
        </w:rPr>
        <w:t>）。</w:t>
      </w:r>
    </w:p>
    <w:p w14:paraId="0F8B37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52024A-7A10-4CA8-8954-6EFBDCD53A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669FB91-3D2B-46A3-81E0-987A084B1BF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21F62BF-9ED0-4A74-AC35-BF6DBCDE395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9F89F4C-A724-48D4-98DE-12EABD388455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1B364C5E-6635-48DE-8D0C-A1CB7A2493A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87E38BB-2CCE-4F88-ABEE-AE0E316725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41579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-139700</wp:posOffset>
              </wp:positionV>
              <wp:extent cx="1828800" cy="533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A6BE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255598" tIns="0" rIns="255598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pt;height:42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dxhOA0wAAAAcBAAAPAAAAAAAAAAEAIAAAACIAAABkcnMvZG93bnJl&#10;di54bWxQSwECFAAUAAAACACHTuJAQZ0TVckBAACI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20.1258267716535pt,0mm,20.1258267716535pt,0mm">
                <w:txbxContent>
                  <w:p w14:paraId="28CA6BE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C04E2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F40AB"/>
    <w:rsid w:val="01C516A1"/>
    <w:rsid w:val="0238044C"/>
    <w:rsid w:val="047258C7"/>
    <w:rsid w:val="05CE62E0"/>
    <w:rsid w:val="064177AA"/>
    <w:rsid w:val="07EA30E9"/>
    <w:rsid w:val="0835792E"/>
    <w:rsid w:val="08F66710"/>
    <w:rsid w:val="0A4B2F82"/>
    <w:rsid w:val="0A7656FA"/>
    <w:rsid w:val="0AFE4899"/>
    <w:rsid w:val="0C062C2F"/>
    <w:rsid w:val="0FA64FE5"/>
    <w:rsid w:val="0FAE0C91"/>
    <w:rsid w:val="11B470B1"/>
    <w:rsid w:val="13C23B0B"/>
    <w:rsid w:val="13C61ACD"/>
    <w:rsid w:val="151C3799"/>
    <w:rsid w:val="1763307A"/>
    <w:rsid w:val="17BB34D4"/>
    <w:rsid w:val="19480231"/>
    <w:rsid w:val="1A174258"/>
    <w:rsid w:val="1A2F63A2"/>
    <w:rsid w:val="1C523383"/>
    <w:rsid w:val="1D6051C9"/>
    <w:rsid w:val="1FE364A4"/>
    <w:rsid w:val="20316DB2"/>
    <w:rsid w:val="216B7714"/>
    <w:rsid w:val="22E846E5"/>
    <w:rsid w:val="23116F6F"/>
    <w:rsid w:val="24175CD2"/>
    <w:rsid w:val="24627D0E"/>
    <w:rsid w:val="255A40F4"/>
    <w:rsid w:val="25801D6A"/>
    <w:rsid w:val="267F7337"/>
    <w:rsid w:val="27537CDA"/>
    <w:rsid w:val="2C180B8D"/>
    <w:rsid w:val="2D566398"/>
    <w:rsid w:val="2E254D46"/>
    <w:rsid w:val="2E53226B"/>
    <w:rsid w:val="30301667"/>
    <w:rsid w:val="31AE3DFF"/>
    <w:rsid w:val="31E60784"/>
    <w:rsid w:val="33005EB6"/>
    <w:rsid w:val="330F40AB"/>
    <w:rsid w:val="33D61D32"/>
    <w:rsid w:val="350A0C28"/>
    <w:rsid w:val="3652650B"/>
    <w:rsid w:val="39305C77"/>
    <w:rsid w:val="3CFC1F8D"/>
    <w:rsid w:val="3D9C7583"/>
    <w:rsid w:val="43C01E88"/>
    <w:rsid w:val="49AC60B3"/>
    <w:rsid w:val="4AD14662"/>
    <w:rsid w:val="4C141812"/>
    <w:rsid w:val="4C716858"/>
    <w:rsid w:val="4EC975B3"/>
    <w:rsid w:val="50AE71B1"/>
    <w:rsid w:val="50F3395B"/>
    <w:rsid w:val="518F2F8C"/>
    <w:rsid w:val="51B07FF9"/>
    <w:rsid w:val="52FF05BB"/>
    <w:rsid w:val="539360C0"/>
    <w:rsid w:val="558651B1"/>
    <w:rsid w:val="56677E1F"/>
    <w:rsid w:val="586C56F4"/>
    <w:rsid w:val="58ED5B81"/>
    <w:rsid w:val="59490913"/>
    <w:rsid w:val="5950093A"/>
    <w:rsid w:val="59D021AA"/>
    <w:rsid w:val="5A7305E7"/>
    <w:rsid w:val="5B9D1953"/>
    <w:rsid w:val="5C6B6CFA"/>
    <w:rsid w:val="5CD57B3A"/>
    <w:rsid w:val="5FC01ED7"/>
    <w:rsid w:val="621D7858"/>
    <w:rsid w:val="62963BFD"/>
    <w:rsid w:val="62C371D1"/>
    <w:rsid w:val="645C2D80"/>
    <w:rsid w:val="6500002F"/>
    <w:rsid w:val="652C04A2"/>
    <w:rsid w:val="68C41083"/>
    <w:rsid w:val="68F46907"/>
    <w:rsid w:val="6956490A"/>
    <w:rsid w:val="6C1E4A4F"/>
    <w:rsid w:val="6CA47842"/>
    <w:rsid w:val="705B4861"/>
    <w:rsid w:val="73BC7A86"/>
    <w:rsid w:val="73BE1C74"/>
    <w:rsid w:val="75153AFB"/>
    <w:rsid w:val="779459B3"/>
    <w:rsid w:val="78004B75"/>
    <w:rsid w:val="78BE5468"/>
    <w:rsid w:val="7BF475C6"/>
    <w:rsid w:val="7C754207"/>
    <w:rsid w:val="7D296A53"/>
    <w:rsid w:val="7F454217"/>
    <w:rsid w:val="7FD0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2026-08-17T09:12:00Z</dcterms:created>
  <dc:creator>微信用户</dc:creator>
  <cp:lastModifiedBy>微信用户</cp:lastModifiedBy>
  <dcterms:modified xsi:type="dcterms:W3CDTF">2026-08-17T09:13:40Z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58626C3792264AE2BF2177D3BC4A8FB9_13</vt:lpwstr>
  </property>
  <property fmtid="{D5CDD505-2E9C-101B-9397-08002B2CF9AE}" pid="4" name="KSOTemplateDocerSaveRecord">
    <vt:lpwstr>eyJoZGlkIjoiM2UyNGQ3YjUwMTViZThiNGNjZGE5NTI5MzE1ZDNkMDgiLCJ1c2VySWQiOiIxNDAwMTY2MTcwIn0=</vt:lpwstr>
  </property>
</Properties>
</file>