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AB9F7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方正黑体_GBK" w:cs="方正黑体_GBK"/>
          <w:b w:val="0"/>
          <w:bCs w:val="0"/>
          <w:color w:val="auto"/>
          <w:kern w:val="2"/>
          <w:sz w:val="32"/>
          <w:szCs w:val="24"/>
          <w:highlight w:val="none"/>
          <w:lang w:val="en-US" w:eastAsia="zh-CN" w:bidi="ar-SA"/>
        </w:rPr>
      </w:pPr>
      <w:r>
        <w:rPr>
          <w:rFonts w:hint="eastAsia" w:ascii="宋体" w:hAnsi="宋体" w:eastAsia="方正黑体_GBK" w:cs="方正黑体_GBK"/>
          <w:b w:val="0"/>
          <w:bCs w:val="0"/>
          <w:color w:val="auto"/>
          <w:kern w:val="2"/>
          <w:sz w:val="32"/>
          <w:szCs w:val="24"/>
          <w:highlight w:val="none"/>
          <w:lang w:val="en-US" w:eastAsia="zh-CN" w:bidi="ar-SA"/>
        </w:rPr>
        <w:t>附件</w:t>
      </w:r>
    </w:p>
    <w:p w14:paraId="726DE54C">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宋体" w:hAnsi="宋体" w:eastAsia="方正小标宋_GBK" w:cs="方正小标宋_GBK"/>
          <w:sz w:val="44"/>
          <w:szCs w:val="44"/>
          <w:lang w:val="en-US" w:eastAsia="zh-CN"/>
        </w:rPr>
      </w:pPr>
      <w:r>
        <w:rPr>
          <w:rFonts w:hint="eastAsia" w:ascii="宋体" w:hAnsi="宋体" w:eastAsia="方正小标宋_GBK" w:cs="方正小标宋_GBK"/>
          <w:sz w:val="44"/>
          <w:szCs w:val="44"/>
          <w:lang w:val="en-US" w:eastAsia="zh-CN"/>
        </w:rPr>
        <w:t>云南省全面推进存量建设用地盘活利用促进土地资源提质增效政策工具箱</w:t>
      </w:r>
    </w:p>
    <w:tbl>
      <w:tblPr>
        <w:tblStyle w:val="6"/>
        <w:tblW w:w="2039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93"/>
        <w:gridCol w:w="1294"/>
        <w:gridCol w:w="1235"/>
        <w:gridCol w:w="7488"/>
        <w:gridCol w:w="6021"/>
        <w:gridCol w:w="3566"/>
      </w:tblGrid>
      <w:tr w14:paraId="3B687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blHeader/>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2A4903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方正黑体_GBK" w:cs="方正黑体_GBK"/>
                <w:b w:val="0"/>
                <w:bCs/>
                <w:i w:val="0"/>
                <w:color w:val="000000"/>
                <w:sz w:val="22"/>
                <w:szCs w:val="22"/>
                <w:u w:val="none"/>
              </w:rPr>
            </w:pPr>
            <w:r>
              <w:rPr>
                <w:rFonts w:hint="eastAsia" w:ascii="宋体" w:hAnsi="宋体" w:eastAsia="方正黑体_GBK" w:cs="方正黑体_GBK"/>
                <w:b w:val="0"/>
                <w:bCs/>
                <w:i w:val="0"/>
                <w:color w:val="000000"/>
                <w:kern w:val="0"/>
                <w:sz w:val="22"/>
                <w:szCs w:val="22"/>
                <w:u w:val="none"/>
                <w:lang w:val="en-US" w:eastAsia="zh-CN" w:bidi="ar"/>
              </w:rPr>
              <w:t>序号</w:t>
            </w:r>
          </w:p>
        </w:tc>
        <w:tc>
          <w:tcPr>
            <w:tcW w:w="1294" w:type="dxa"/>
            <w:tcBorders>
              <w:top w:val="single" w:color="000000" w:sz="4" w:space="0"/>
              <w:left w:val="single" w:color="000000" w:sz="4" w:space="0"/>
              <w:bottom w:val="single" w:color="000000" w:sz="4" w:space="0"/>
              <w:right w:val="single" w:color="000000" w:sz="4" w:space="0"/>
            </w:tcBorders>
            <w:noWrap/>
            <w:vAlign w:val="center"/>
          </w:tcPr>
          <w:p w14:paraId="4CFDB2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方正黑体_GBK" w:cs="方正黑体_GBK"/>
                <w:b w:val="0"/>
                <w:bCs/>
                <w:i w:val="0"/>
                <w:color w:val="000000"/>
                <w:sz w:val="22"/>
                <w:szCs w:val="22"/>
                <w:u w:val="none"/>
              </w:rPr>
            </w:pPr>
            <w:r>
              <w:rPr>
                <w:rFonts w:hint="eastAsia" w:ascii="宋体" w:hAnsi="宋体" w:eastAsia="方正黑体_GBK" w:cs="方正黑体_GBK"/>
                <w:b w:val="0"/>
                <w:bCs/>
                <w:i w:val="0"/>
                <w:color w:val="000000"/>
                <w:kern w:val="0"/>
                <w:sz w:val="22"/>
                <w:szCs w:val="22"/>
                <w:u w:val="none"/>
                <w:lang w:val="en-US" w:eastAsia="zh-CN" w:bidi="ar"/>
              </w:rPr>
              <w:t>政策工具</w:t>
            </w:r>
          </w:p>
        </w:tc>
        <w:tc>
          <w:tcPr>
            <w:tcW w:w="1235" w:type="dxa"/>
            <w:tcBorders>
              <w:top w:val="single" w:color="000000" w:sz="4" w:space="0"/>
              <w:left w:val="single" w:color="000000" w:sz="4" w:space="0"/>
              <w:bottom w:val="single" w:color="000000" w:sz="4" w:space="0"/>
              <w:right w:val="single" w:color="000000" w:sz="4" w:space="0"/>
            </w:tcBorders>
            <w:noWrap/>
            <w:vAlign w:val="center"/>
          </w:tcPr>
          <w:p w14:paraId="79324F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方正黑体_GBK" w:cs="方正黑体_GBK"/>
                <w:b w:val="0"/>
                <w:bCs/>
                <w:i w:val="0"/>
                <w:color w:val="000000"/>
                <w:sz w:val="22"/>
                <w:szCs w:val="22"/>
                <w:u w:val="none"/>
              </w:rPr>
            </w:pPr>
            <w:r>
              <w:rPr>
                <w:rFonts w:hint="eastAsia" w:ascii="宋体" w:hAnsi="宋体" w:eastAsia="方正黑体_GBK" w:cs="方正黑体_GBK"/>
                <w:b w:val="0"/>
                <w:bCs/>
                <w:i w:val="0"/>
                <w:color w:val="000000"/>
                <w:kern w:val="0"/>
                <w:sz w:val="22"/>
                <w:szCs w:val="22"/>
                <w:u w:val="none"/>
                <w:lang w:val="en-US" w:eastAsia="zh-CN" w:bidi="ar"/>
              </w:rPr>
              <w:t>细化工具</w:t>
            </w:r>
          </w:p>
        </w:tc>
        <w:tc>
          <w:tcPr>
            <w:tcW w:w="7488" w:type="dxa"/>
            <w:tcBorders>
              <w:top w:val="single" w:color="000000" w:sz="4" w:space="0"/>
              <w:left w:val="single" w:color="000000" w:sz="4" w:space="0"/>
              <w:bottom w:val="single" w:color="000000" w:sz="4" w:space="0"/>
              <w:right w:val="single" w:color="000000" w:sz="4" w:space="0"/>
            </w:tcBorders>
            <w:noWrap/>
            <w:vAlign w:val="center"/>
          </w:tcPr>
          <w:p w14:paraId="6E8593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方正黑体_GBK" w:cs="方正黑体_GBK"/>
                <w:b w:val="0"/>
                <w:bCs/>
                <w:i w:val="0"/>
                <w:color w:val="000000"/>
                <w:sz w:val="22"/>
                <w:szCs w:val="22"/>
                <w:u w:val="none"/>
              </w:rPr>
            </w:pPr>
            <w:r>
              <w:rPr>
                <w:rFonts w:hint="eastAsia" w:ascii="宋体" w:hAnsi="宋体" w:eastAsia="方正黑体_GBK" w:cs="方正黑体_GBK"/>
                <w:b w:val="0"/>
                <w:bCs/>
                <w:i w:val="0"/>
                <w:color w:val="000000"/>
                <w:kern w:val="0"/>
                <w:sz w:val="22"/>
                <w:szCs w:val="22"/>
                <w:u w:val="none"/>
                <w:lang w:val="en-US" w:eastAsia="zh-CN" w:bidi="ar"/>
              </w:rPr>
              <w:t>政策要点</w:t>
            </w:r>
          </w:p>
        </w:tc>
        <w:tc>
          <w:tcPr>
            <w:tcW w:w="6021" w:type="dxa"/>
            <w:tcBorders>
              <w:top w:val="single" w:color="000000" w:sz="4" w:space="0"/>
              <w:left w:val="single" w:color="000000" w:sz="4" w:space="0"/>
              <w:bottom w:val="single" w:color="000000" w:sz="4" w:space="0"/>
              <w:right w:val="single" w:color="000000" w:sz="4" w:space="0"/>
            </w:tcBorders>
            <w:noWrap/>
            <w:vAlign w:val="center"/>
          </w:tcPr>
          <w:p w14:paraId="276E17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方正黑体_GBK" w:cs="方正黑体_GBK"/>
                <w:b w:val="0"/>
                <w:bCs/>
                <w:i w:val="0"/>
                <w:color w:val="000000"/>
                <w:sz w:val="22"/>
                <w:szCs w:val="22"/>
                <w:u w:val="none"/>
              </w:rPr>
            </w:pPr>
            <w:r>
              <w:rPr>
                <w:rFonts w:hint="eastAsia" w:ascii="宋体" w:hAnsi="宋体" w:eastAsia="方正黑体_GBK" w:cs="方正黑体_GBK"/>
                <w:b w:val="0"/>
                <w:bCs/>
                <w:i w:val="0"/>
                <w:color w:val="000000"/>
                <w:kern w:val="0"/>
                <w:sz w:val="22"/>
                <w:szCs w:val="22"/>
                <w:u w:val="none"/>
                <w:lang w:val="en-US" w:eastAsia="zh-CN" w:bidi="ar"/>
              </w:rPr>
              <w:t>索引政策文件</w:t>
            </w:r>
          </w:p>
        </w:tc>
        <w:tc>
          <w:tcPr>
            <w:tcW w:w="3566" w:type="dxa"/>
            <w:tcBorders>
              <w:top w:val="single" w:color="000000" w:sz="4" w:space="0"/>
              <w:left w:val="single" w:color="000000" w:sz="4" w:space="0"/>
              <w:bottom w:val="single" w:color="000000" w:sz="4" w:space="0"/>
              <w:right w:val="single" w:color="000000" w:sz="4" w:space="0"/>
            </w:tcBorders>
            <w:noWrap/>
            <w:vAlign w:val="center"/>
          </w:tcPr>
          <w:p w14:paraId="650CCB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方正黑体_GBK" w:cs="方正黑体_GBK"/>
                <w:b w:val="0"/>
                <w:bCs/>
                <w:i w:val="0"/>
                <w:color w:val="000000"/>
                <w:sz w:val="22"/>
                <w:szCs w:val="22"/>
                <w:u w:val="none"/>
              </w:rPr>
            </w:pPr>
            <w:r>
              <w:rPr>
                <w:rFonts w:hint="eastAsia" w:ascii="宋体" w:hAnsi="宋体" w:eastAsia="方正黑体_GBK" w:cs="方正黑体_GBK"/>
                <w:b w:val="0"/>
                <w:bCs/>
                <w:i w:val="0"/>
                <w:color w:val="000000"/>
                <w:kern w:val="0"/>
                <w:sz w:val="22"/>
                <w:szCs w:val="22"/>
                <w:u w:val="none"/>
                <w:lang w:val="en-US" w:eastAsia="zh-CN" w:bidi="ar"/>
              </w:rPr>
              <w:t>备注</w:t>
            </w:r>
          </w:p>
        </w:tc>
      </w:tr>
      <w:tr w14:paraId="6CAB0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9"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5B8F89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1</w:t>
            </w:r>
          </w:p>
        </w:tc>
        <w:tc>
          <w:tcPr>
            <w:tcW w:w="1294" w:type="dxa"/>
            <w:vMerge w:val="restart"/>
            <w:tcBorders>
              <w:top w:val="single" w:color="000000" w:sz="4" w:space="0"/>
              <w:left w:val="single" w:color="000000" w:sz="4" w:space="0"/>
              <w:bottom w:val="single" w:color="000000" w:sz="4" w:space="0"/>
              <w:right w:val="single" w:color="000000" w:sz="4" w:space="0"/>
            </w:tcBorders>
            <w:noWrap w:val="0"/>
            <w:vAlign w:val="center"/>
          </w:tcPr>
          <w:p w14:paraId="72D6CA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4559D4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76CFCD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3A7A30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0492B3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5A0DBD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6ECA4F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5C899E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1ABC4A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129666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300CFC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25C28B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2E2AC3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4E7C71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641880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0167E2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7A6D37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08E412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03FD07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7731DF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1DD380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00750E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r>
              <w:rPr>
                <w:rFonts w:hint="eastAsia" w:ascii="宋体" w:hAnsi="宋体" w:eastAsia="方正仿宋_GBK" w:cs="方正仿宋_GBK"/>
                <w:b/>
                <w:i w:val="0"/>
                <w:color w:val="000000"/>
                <w:kern w:val="0"/>
                <w:sz w:val="21"/>
                <w:szCs w:val="21"/>
                <w:u w:val="none"/>
                <w:lang w:val="en-US" w:eastAsia="zh-CN" w:bidi="ar"/>
              </w:rPr>
              <w:t>一、加强规划支持</w:t>
            </w:r>
          </w:p>
          <w:p w14:paraId="3F1954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42B950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4C04C9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034A2C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1ACBF8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10DCBC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6D4B30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3B44C3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7CB58C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7F52A5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750753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09095D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1D9733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6FA519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727C75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3D3A3D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001060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137C84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511841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58A1E4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677797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5A0D13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12638F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0D29CF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4276F0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30A188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508F23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5E9839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289D53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1D1163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3A00E2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095B9C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sz w:val="21"/>
                <w:szCs w:val="21"/>
                <w:u w:val="none"/>
              </w:rPr>
            </w:pPr>
            <w:r>
              <w:rPr>
                <w:rFonts w:hint="eastAsia" w:ascii="宋体" w:hAnsi="宋体" w:eastAsia="方正仿宋_GBK" w:cs="方正仿宋_GBK"/>
                <w:b/>
                <w:i w:val="0"/>
                <w:color w:val="000000"/>
                <w:kern w:val="0"/>
                <w:sz w:val="21"/>
                <w:szCs w:val="21"/>
                <w:u w:val="none"/>
                <w:lang w:val="en-US" w:eastAsia="zh-CN" w:bidi="ar"/>
              </w:rPr>
              <w:t>一、加强规划支持</w:t>
            </w:r>
          </w:p>
        </w:tc>
        <w:tc>
          <w:tcPr>
            <w:tcW w:w="1235" w:type="dxa"/>
            <w:vMerge w:val="restart"/>
            <w:tcBorders>
              <w:top w:val="single" w:color="000000" w:sz="4" w:space="0"/>
              <w:left w:val="single" w:color="000000" w:sz="4" w:space="0"/>
              <w:bottom w:val="single" w:color="000000" w:sz="4" w:space="0"/>
              <w:right w:val="single" w:color="000000" w:sz="4" w:space="0"/>
            </w:tcBorders>
            <w:noWrap w:val="0"/>
            <w:vAlign w:val="center"/>
          </w:tcPr>
          <w:p w14:paraId="64C93A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（一）优化城镇开发边界</w:t>
            </w:r>
          </w:p>
        </w:tc>
        <w:tc>
          <w:tcPr>
            <w:tcW w:w="7488" w:type="dxa"/>
            <w:vMerge w:val="restart"/>
            <w:tcBorders>
              <w:top w:val="single" w:color="000000" w:sz="4" w:space="0"/>
              <w:left w:val="single" w:color="000000" w:sz="4" w:space="0"/>
              <w:bottom w:val="single" w:color="000000" w:sz="4" w:space="0"/>
              <w:right w:val="single" w:color="000000" w:sz="4" w:space="0"/>
            </w:tcBorders>
            <w:noWrap w:val="0"/>
            <w:vAlign w:val="center"/>
          </w:tcPr>
          <w:p w14:paraId="30938FE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 xml:space="preserve">    强化国土空间规划对存量空间盘活优化的统筹引领作用，推动城镇建设用地向城镇开发边界内集中布局，促进土地节约集约利用。</w:t>
            </w:r>
            <w:r>
              <w:rPr>
                <w:rFonts w:hint="eastAsia" w:ascii="宋体" w:hAnsi="宋体" w:eastAsia="方正仿宋_GBK" w:cs="方正仿宋_GBK"/>
                <w:i w:val="0"/>
                <w:color w:val="000000"/>
                <w:kern w:val="0"/>
                <w:sz w:val="21"/>
                <w:szCs w:val="21"/>
                <w:u w:val="none"/>
                <w:lang w:val="en-US" w:eastAsia="zh-CN" w:bidi="ar"/>
              </w:rPr>
              <w:br w:type="textWrapping"/>
            </w:r>
            <w:r>
              <w:rPr>
                <w:rFonts w:hint="eastAsia" w:ascii="宋体" w:hAnsi="宋体" w:eastAsia="方正仿宋_GBK" w:cs="方正仿宋_GBK"/>
                <w:i w:val="0"/>
                <w:color w:val="000000"/>
                <w:kern w:val="0"/>
                <w:sz w:val="21"/>
                <w:szCs w:val="21"/>
                <w:u w:val="none"/>
                <w:lang w:val="en-US" w:eastAsia="zh-CN" w:bidi="ar"/>
              </w:rPr>
              <w:t xml:space="preserve">    1.城镇开发边界外“三区三线”划定成果启用之前已依法批准的现状城镇建设用地、以及在自然资源部监管系统备案的已批准未建设土地，可按本办法有关规定纳入城镇开发边界或作为有特定选址要求的独立城镇建设用地使用，不计入城镇开发边界扩展倍数。</w:t>
            </w:r>
            <w:r>
              <w:rPr>
                <w:rFonts w:hint="eastAsia" w:ascii="宋体" w:hAnsi="宋体" w:eastAsia="方正仿宋_GBK" w:cs="方正仿宋_GBK"/>
                <w:i w:val="0"/>
                <w:color w:val="000000"/>
                <w:kern w:val="0"/>
                <w:sz w:val="21"/>
                <w:szCs w:val="21"/>
                <w:u w:val="none"/>
                <w:lang w:val="en-US" w:eastAsia="zh-CN" w:bidi="ar"/>
              </w:rPr>
              <w:br w:type="textWrapping"/>
            </w:r>
            <w:r>
              <w:rPr>
                <w:rFonts w:hint="eastAsia" w:ascii="宋体" w:hAnsi="宋体" w:eastAsia="方正仿宋_GBK" w:cs="方正仿宋_GBK"/>
                <w:i w:val="0"/>
                <w:color w:val="000000"/>
                <w:kern w:val="0"/>
                <w:sz w:val="21"/>
                <w:szCs w:val="21"/>
                <w:u w:val="none"/>
                <w:lang w:val="en-US" w:eastAsia="zh-CN" w:bidi="ar"/>
              </w:rPr>
              <w:t xml:space="preserve">    2.实施灾害避险搬迁、生态保护红线内现状建设用地退出的,形成的建设用地指标在优先满足农民安置、乡村发展建设后，节余指标可按50%的比例折算为新增城镇建设用地规模。增补的城镇开发边界原则上不得安排在超大特大城市中心城区周边。</w:t>
            </w:r>
            <w:r>
              <w:rPr>
                <w:rFonts w:hint="eastAsia" w:ascii="宋体" w:hAnsi="宋体" w:eastAsia="方正仿宋_GBK" w:cs="方正仿宋_GBK"/>
                <w:i w:val="0"/>
                <w:color w:val="000000"/>
                <w:kern w:val="0"/>
                <w:sz w:val="21"/>
                <w:szCs w:val="21"/>
                <w:u w:val="none"/>
                <w:lang w:val="en-US" w:eastAsia="zh-CN" w:bidi="ar"/>
              </w:rPr>
              <w:br w:type="textWrapping"/>
            </w:r>
            <w:r>
              <w:rPr>
                <w:rFonts w:hint="eastAsia" w:ascii="宋体" w:hAnsi="宋体" w:eastAsia="方正仿宋_GBK" w:cs="方正仿宋_GBK"/>
                <w:i w:val="0"/>
                <w:color w:val="000000"/>
                <w:kern w:val="0"/>
                <w:sz w:val="21"/>
                <w:szCs w:val="21"/>
                <w:u w:val="none"/>
                <w:lang w:val="en-US" w:eastAsia="zh-CN" w:bidi="ar"/>
              </w:rPr>
              <w:t xml:space="preserve">    3.国家级能源化工产业基地位于城镇开发边界外，确有能源化工等项目落地的，可增补城镇开发边界，汇交到全国自然资源管理和国土空间规划“一张图”封闭运行，不计入本行政区域城镇开发边界扩展倍数核算。应以工业用地为主，严格落实相关用地标准，原则上不得进行商品住房等房地产开发。</w:t>
            </w: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4FE04C2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《城镇开发边界管理办法（试行）》（自然资规〔2026〕1号）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4006408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default" w:ascii="宋体" w:hAnsi="宋体" w:eastAsia="方正仿宋_GBK" w:cs="方正仿宋_GBK"/>
                <w:color w:val="000000"/>
                <w:kern w:val="0"/>
                <w:sz w:val="21"/>
                <w:szCs w:val="21"/>
                <w:lang w:val="en-US" w:eastAsia="zh-CN" w:bidi="ar"/>
              </w:rPr>
              <w:t>2026年2月11日印发，有效期三年。</w:t>
            </w:r>
          </w:p>
        </w:tc>
      </w:tr>
      <w:tr w14:paraId="44E2D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8"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203B3F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2</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8F1A60">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3AA0AD">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E18F3A">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1C6D6B1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《自然资源部 国家林业和草原局关于进一步做好自然资源要素保障的通知》（自然资发〔2026〕38号）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4A4EB23A">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07F80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5"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0583DF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3</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FF7AAD">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E5D186">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34B832">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0620848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《云南省自然资源厅关于进一步做好城镇开发边界管理的通知（试行）》（云自然资〔2024〕104号）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42152E85">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39F40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3FECA7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4</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3B29E3">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restart"/>
            <w:tcBorders>
              <w:top w:val="single" w:color="000000" w:sz="4" w:space="0"/>
              <w:left w:val="single" w:color="000000" w:sz="4" w:space="0"/>
              <w:bottom w:val="single" w:color="000000" w:sz="4" w:space="0"/>
              <w:right w:val="single" w:color="000000" w:sz="4" w:space="0"/>
            </w:tcBorders>
            <w:noWrap w:val="0"/>
            <w:vAlign w:val="center"/>
          </w:tcPr>
          <w:p w14:paraId="7C819C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（二）详细规划分层管控</w:t>
            </w:r>
          </w:p>
        </w:tc>
        <w:tc>
          <w:tcPr>
            <w:tcW w:w="7488" w:type="dxa"/>
            <w:vMerge w:val="restart"/>
            <w:tcBorders>
              <w:top w:val="single" w:color="000000" w:sz="4" w:space="0"/>
              <w:left w:val="single" w:color="000000" w:sz="4" w:space="0"/>
              <w:bottom w:val="single" w:color="000000" w:sz="4" w:space="0"/>
              <w:right w:val="single" w:color="000000" w:sz="4" w:space="0"/>
            </w:tcBorders>
            <w:noWrap w:val="0"/>
            <w:vAlign w:val="center"/>
          </w:tcPr>
          <w:p w14:paraId="185C6CF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 xml:space="preserve">    1.详细规划应结合城市更新实施的特点，面向规划管理需求，将总体规划确定的强制性管控要求、引导措施和城市更新的规划目标，通过“单元”和“地块”两个层面分层落实到详细规划中。规划单元详细规划需明确单元的各项规划总指标，宜采用总量管控的方式，管控引导到实施单元；实施单元详细规划需明确地块的各项规划指标，管控引导到地块。</w:t>
            </w:r>
            <w:r>
              <w:rPr>
                <w:rFonts w:hint="eastAsia" w:ascii="宋体" w:hAnsi="宋体" w:eastAsia="方正仿宋_GBK" w:cs="方正仿宋_GBK"/>
                <w:i w:val="0"/>
                <w:color w:val="000000"/>
                <w:kern w:val="0"/>
                <w:sz w:val="21"/>
                <w:szCs w:val="21"/>
                <w:u w:val="none"/>
                <w:lang w:val="en-US" w:eastAsia="zh-CN" w:bidi="ar"/>
              </w:rPr>
              <w:br w:type="textWrapping"/>
            </w:r>
            <w:r>
              <w:rPr>
                <w:rFonts w:hint="eastAsia" w:ascii="宋体" w:hAnsi="宋体" w:eastAsia="方正仿宋_GBK" w:cs="方正仿宋_GBK"/>
                <w:i w:val="0"/>
                <w:color w:val="000000"/>
                <w:kern w:val="0"/>
                <w:sz w:val="21"/>
                <w:szCs w:val="21"/>
                <w:u w:val="none"/>
                <w:lang w:val="en-US" w:eastAsia="zh-CN" w:bidi="ar"/>
              </w:rPr>
              <w:t xml:space="preserve">    2.各地应按“编到地块管到单元”的原则编制单元详细规划，特殊地块可直接编制地块详细规划。</w:t>
            </w: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43512F8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《城市存量空间盘活优化规划指南》（TD/T 1111-2025）</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2F856F7E">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77207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5"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07AEA9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5</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81249D">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4834FA">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1F7D5E">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26C438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《自然资源部关于加强国土空间详细规划工作的通知》（自然资发〔2023〕43号）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032929F5">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1E5E2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2"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5C93FD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6</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79A829">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F908E6">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A1AD14">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65631ED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《支持城市更新的规划与土地政策指引（2023版）》（自然资办发〔2023〕47号）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2FB668AD">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49133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477190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7</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0A7CB5">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1D319B">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07EE88">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7A3432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《云南省国土空间详细规划编制导则（试行）》</w:t>
            </w:r>
            <w:r>
              <w:rPr>
                <w:rFonts w:hint="eastAsia" w:ascii="宋体" w:hAnsi="宋体" w:eastAsia="方正仿宋_GBK" w:cs="方正仿宋_GBK"/>
                <w:snapToGrid/>
                <w:color w:val="000000"/>
                <w:kern w:val="0"/>
                <w:sz w:val="21"/>
                <w:szCs w:val="21"/>
                <w:lang w:val="en-US" w:eastAsia="zh-CN" w:bidi="ar"/>
              </w:rPr>
              <w:t>（云自然资空规〔2023〕402号）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7BE2F45B">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4A387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0E07E8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8</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21DEB7">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1C017A">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FEEFB4">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2A338D1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《自然资源部关于开展低效用地再开发试点工作的通知》（自然资发〔2023〕171号）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22F08BB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p>
        </w:tc>
      </w:tr>
      <w:tr w14:paraId="49A74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2"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0E9098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9</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DF2D03">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tcBorders>
              <w:top w:val="single" w:color="000000" w:sz="4" w:space="0"/>
              <w:left w:val="single" w:color="000000" w:sz="4" w:space="0"/>
              <w:bottom w:val="single" w:color="000000" w:sz="4" w:space="0"/>
              <w:right w:val="single" w:color="000000" w:sz="4" w:space="0"/>
            </w:tcBorders>
            <w:noWrap w:val="0"/>
            <w:vAlign w:val="center"/>
          </w:tcPr>
          <w:p w14:paraId="17FB5F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（三）施行差异化的规划设计技术标准</w:t>
            </w:r>
          </w:p>
        </w:tc>
        <w:tc>
          <w:tcPr>
            <w:tcW w:w="7488" w:type="dxa"/>
            <w:tcBorders>
              <w:top w:val="single" w:color="000000" w:sz="4" w:space="0"/>
              <w:left w:val="single" w:color="000000" w:sz="4" w:space="0"/>
              <w:bottom w:val="single" w:color="000000" w:sz="4" w:space="0"/>
              <w:right w:val="single" w:color="000000" w:sz="4" w:space="0"/>
            </w:tcBorders>
            <w:noWrap w:val="0"/>
            <w:vAlign w:val="center"/>
          </w:tcPr>
          <w:p w14:paraId="42E082A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 xml:space="preserve">    城市更新项目在保障公共安全的前提下，尊重历史、因地制宜，对建筑间距、建筑退距、建筑面宽、建筑密度、日照标准、绿地率、机动车停车位等无法达到现行标准的情形，可通过技术措施以不低于现状条件为底线进行更新。</w:t>
            </w: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4BAF10A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《支持城市更新的规划与土地政策指引（2023版）》（自然资办发〔2023〕47号）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730F45BB">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5B336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55BC83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10</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072FCF">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restart"/>
            <w:tcBorders>
              <w:top w:val="single" w:color="000000" w:sz="4" w:space="0"/>
              <w:left w:val="single" w:color="000000" w:sz="4" w:space="0"/>
              <w:bottom w:val="single" w:color="000000" w:sz="4" w:space="0"/>
              <w:right w:val="single" w:color="000000" w:sz="4" w:space="0"/>
            </w:tcBorders>
            <w:noWrap w:val="0"/>
            <w:vAlign w:val="center"/>
          </w:tcPr>
          <w:p w14:paraId="51C597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（四）建筑规模统筹与跨单元弹性配置</w:t>
            </w:r>
          </w:p>
        </w:tc>
        <w:tc>
          <w:tcPr>
            <w:tcW w:w="7488" w:type="dxa"/>
            <w:vMerge w:val="restart"/>
            <w:tcBorders>
              <w:top w:val="single" w:color="000000" w:sz="4" w:space="0"/>
              <w:left w:val="single" w:color="000000" w:sz="4" w:space="0"/>
              <w:bottom w:val="single" w:color="000000" w:sz="4" w:space="0"/>
              <w:right w:val="single" w:color="000000" w:sz="4" w:space="0"/>
            </w:tcBorders>
            <w:noWrap w:val="0"/>
            <w:vAlign w:val="center"/>
          </w:tcPr>
          <w:p w14:paraId="2CEC763C">
            <w:pPr>
              <w:keepNext w:val="0"/>
              <w:keepLines w:val="0"/>
              <w:pageBreakBefore w:val="0"/>
              <w:widowControl/>
              <w:suppressLineNumbers w:val="0"/>
              <w:kinsoku/>
              <w:wordWrap/>
              <w:overflowPunct/>
              <w:topLinePunct w:val="0"/>
              <w:autoSpaceDE/>
              <w:autoSpaceDN/>
              <w:bidi w:val="0"/>
              <w:adjustRightInd/>
              <w:snapToGrid/>
              <w:spacing w:afterAutospacing="0"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 xml:space="preserve">    将总体规划相关要求传导至详细规划，以单元详细规划为平台，在单元中统筹空间功能和建筑量，实现总量控制、结构优化、区域平衡、动态平衡。在不突破市县国土空间总体规划空间管控底线和强制性内容的前提下，各地可探索规划建筑量跨更新规划单元进行统筹及异地等价值转移的政策和机制，处理好局部利益、整体利益和长远利益的关系，转移建筑量所得收益应优先用于保障改造资金的平衡。</w:t>
            </w: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2467659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《支持城市更新的规划与土地政策指引（2023版）》（自然资办发〔2023〕47号）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20B67AC9">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043C4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0"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63C27F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11</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B29DAB">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3B3F32">
            <w:pPr>
              <w:keepNext w:val="0"/>
              <w:keepLines w:val="0"/>
              <w:pageBreakBefore w:val="0"/>
              <w:widowControl/>
              <w:kinsoku/>
              <w:wordWrap/>
              <w:overflowPunct/>
              <w:topLinePunct w:val="0"/>
              <w:autoSpaceDE/>
              <w:autoSpaceDN/>
              <w:bidi w:val="0"/>
              <w:adjustRightInd/>
              <w:snapToGrid/>
              <w:spacing w:after="0" w:line="240" w:lineRule="exact"/>
              <w:jc w:val="left"/>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D4A17A">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73A5CBC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《自然资源部办公厅关于进一步加强规划土地政策支持老旧小区改造更新工作的通知》（自然资办发〔2024〕25号）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76D86C5B">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731D3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0FFF2C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12</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F63D0B">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17FAAA">
            <w:pPr>
              <w:keepNext w:val="0"/>
              <w:keepLines w:val="0"/>
              <w:pageBreakBefore w:val="0"/>
              <w:widowControl/>
              <w:kinsoku/>
              <w:wordWrap/>
              <w:overflowPunct/>
              <w:topLinePunct w:val="0"/>
              <w:autoSpaceDE/>
              <w:autoSpaceDN/>
              <w:bidi w:val="0"/>
              <w:adjustRightInd/>
              <w:snapToGrid/>
              <w:spacing w:after="0" w:line="240" w:lineRule="exact"/>
              <w:jc w:val="left"/>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E4721C">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0DB844D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《城市存量空间盘活优化规划指南》（TD/T 1111-2025）</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278221A1">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1F3C3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12BA06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13</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9F8BE1">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restart"/>
            <w:tcBorders>
              <w:top w:val="single" w:color="000000" w:sz="4" w:space="0"/>
              <w:left w:val="single" w:color="000000" w:sz="4" w:space="0"/>
              <w:bottom w:val="single" w:color="000000" w:sz="4" w:space="0"/>
              <w:right w:val="single" w:color="000000" w:sz="4" w:space="0"/>
            </w:tcBorders>
            <w:noWrap w:val="0"/>
            <w:vAlign w:val="center"/>
          </w:tcPr>
          <w:p w14:paraId="040E68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（五）正负面清单管控</w:t>
            </w:r>
          </w:p>
        </w:tc>
        <w:tc>
          <w:tcPr>
            <w:tcW w:w="7488" w:type="dxa"/>
            <w:vMerge w:val="restart"/>
            <w:tcBorders>
              <w:top w:val="single" w:color="000000" w:sz="4" w:space="0"/>
              <w:left w:val="single" w:color="000000" w:sz="4" w:space="0"/>
              <w:bottom w:val="single" w:color="000000" w:sz="4" w:space="0"/>
              <w:right w:val="single" w:color="000000" w:sz="4" w:space="0"/>
            </w:tcBorders>
            <w:noWrap w:val="0"/>
            <w:vAlign w:val="center"/>
          </w:tcPr>
          <w:p w14:paraId="2169B63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 xml:space="preserve">   1.鼓励各地结合新产业、新业态发展需求,制定土地混合开发和空间复合利用正面清单和管控要求,经详细规划审批机关批准;城市更新项目实施中,符合正面清单的,即视为符合详细规划。</w:t>
            </w:r>
            <w:r>
              <w:rPr>
                <w:rFonts w:hint="eastAsia" w:ascii="宋体" w:hAnsi="宋体" w:eastAsia="方正仿宋_GBK" w:cs="方正仿宋_GBK"/>
                <w:i w:val="0"/>
                <w:color w:val="000000"/>
                <w:kern w:val="0"/>
                <w:sz w:val="21"/>
                <w:szCs w:val="21"/>
                <w:u w:val="none"/>
                <w:lang w:val="en-US" w:eastAsia="zh-CN" w:bidi="ar"/>
              </w:rPr>
              <w:br w:type="textWrapping"/>
            </w:r>
            <w:r>
              <w:rPr>
                <w:rFonts w:hint="eastAsia" w:ascii="宋体" w:hAnsi="宋体" w:eastAsia="方正仿宋_GBK" w:cs="方正仿宋_GBK"/>
                <w:i w:val="0"/>
                <w:color w:val="000000"/>
                <w:kern w:val="0"/>
                <w:sz w:val="21"/>
                <w:szCs w:val="21"/>
                <w:u w:val="none"/>
                <w:lang w:val="en-US" w:eastAsia="zh-CN" w:bidi="ar"/>
              </w:rPr>
              <w:t xml:space="preserve">   2.在保证公共安全和公共利益、不影响周边利害关系人合法权益、不改变建筑主体结构、不破坏历史风貌和景观环境、落实用地需求的前提下，可对改善社区公共服务（市政）设施（包括小区车辆停放场地及充电设施等）、提升社区公共空间服务功能（包括加装电梯、无障碍设施、小区绿化场地、健身步道等）等微更新项目，制定规划许可豁免清单。</w:t>
            </w: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2BFA700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《自然资源部 住房城乡建设部关于进一步支持城市更新行动若干措施的通知》（自然资发〔2025〕226号）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2D67B4E7">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1DA4F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74E9C3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14</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3431D7">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74BF7D">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92C247">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797C014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《支持城市更新的规划与土地政策指引（2023版）》（自然资办发〔2023〕47号）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4D2A0294">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1871F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6516EB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15</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9E3EB3">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56D2FA">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77981D">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5324173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《城市存量空间盘活优化规划指南》（TD/T 1111-2025）</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6D1419AC">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6D37A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77D691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16</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B01EAD">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253574">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5545C3">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21F2C7D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《云南省混合产业用地供给试点工作方案》（云自然资权益〔2024〕470号）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54B9041F">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3A368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39579F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17</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17C1CC">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533710">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25F707">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03C2929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《云南省国土空间详细规划编制导则（试行）》（</w:t>
            </w:r>
            <w:r>
              <w:rPr>
                <w:rFonts w:hint="eastAsia" w:ascii="宋体" w:hAnsi="宋体" w:eastAsia="方正仿宋_GBK" w:cs="方正仿宋_GBK"/>
                <w:snapToGrid/>
                <w:color w:val="000000"/>
                <w:kern w:val="0"/>
                <w:sz w:val="21"/>
                <w:szCs w:val="21"/>
                <w:lang w:val="en-US" w:eastAsia="zh-CN" w:bidi="ar"/>
              </w:rPr>
              <w:t>云自然资空规〔2023〕402号）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3DFF097C">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01E63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255F5C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18</w:t>
            </w:r>
          </w:p>
        </w:tc>
        <w:tc>
          <w:tcPr>
            <w:tcW w:w="1294" w:type="dxa"/>
            <w:vMerge w:val="restart"/>
            <w:tcBorders>
              <w:top w:val="single" w:color="000000" w:sz="4" w:space="0"/>
              <w:left w:val="single" w:color="000000" w:sz="4" w:space="0"/>
              <w:bottom w:val="single" w:color="000000" w:sz="4" w:space="0"/>
              <w:right w:val="single" w:color="000000" w:sz="4" w:space="0"/>
            </w:tcBorders>
            <w:noWrap w:val="0"/>
            <w:vAlign w:val="center"/>
          </w:tcPr>
          <w:p w14:paraId="0299BF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7FC769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4CAE57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72D63A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6AF943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4A3721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413C1A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2F38BD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7D0875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6C0B4B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010BEE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41BA2D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6EFDFE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44A5B1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467126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714A4B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7EAB36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4CD119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6052AF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7F6D56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564D16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561464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r>
              <w:rPr>
                <w:rFonts w:hint="eastAsia" w:ascii="宋体" w:hAnsi="宋体" w:eastAsia="方正仿宋_GBK" w:cs="方正仿宋_GBK"/>
                <w:b/>
                <w:i w:val="0"/>
                <w:color w:val="000000"/>
                <w:kern w:val="0"/>
                <w:sz w:val="21"/>
                <w:szCs w:val="21"/>
                <w:u w:val="none"/>
                <w:lang w:val="en-US" w:eastAsia="zh-CN" w:bidi="ar"/>
              </w:rPr>
              <w:t>二、细化盘活路径</w:t>
            </w:r>
          </w:p>
          <w:p w14:paraId="754DE7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1A57DF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161778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3FFB54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27D758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5C8430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027A14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054A0A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1CEE7F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5B8F47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1AC800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420553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7C7282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3A044E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66CBA1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305377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6C7F55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4266FD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4A64D9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53B3E8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600F14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6F1D3C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49CBAD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227F71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5E9E9D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79B6F8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2E9CF7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01D10B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3F23DD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565EF5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73C4C4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6A40D8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5AEF50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0F23CB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4F8C35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76E425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49A3E0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15C928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02EADD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62E267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6E1D05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0AB274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516C81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3192CD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3D0B20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r>
              <w:rPr>
                <w:rFonts w:hint="eastAsia" w:ascii="宋体" w:hAnsi="宋体" w:eastAsia="方正仿宋_GBK" w:cs="方正仿宋_GBK"/>
                <w:b/>
                <w:i w:val="0"/>
                <w:color w:val="000000"/>
                <w:kern w:val="0"/>
                <w:sz w:val="21"/>
                <w:szCs w:val="21"/>
                <w:u w:val="none"/>
                <w:lang w:val="en-US" w:eastAsia="zh-CN" w:bidi="ar"/>
              </w:rPr>
              <w:t>二、细化盘活路径</w:t>
            </w:r>
          </w:p>
          <w:p w14:paraId="4DDBCC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1FE4AC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4DAACC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33A073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1687B7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652276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10326E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38DFEA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172BC6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770242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49401B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1EC42D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3743C5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0635D8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0686DB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60D396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7AEC3B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3C170B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412B46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7FE8EA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456237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571D3A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2661EE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50AC3C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099F44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2DF5DA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4B74E5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2B3AA2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0062F2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13A154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46C0DB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054682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541309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0DFF98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52BA6E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5E51F0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621246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sz w:val="21"/>
                <w:szCs w:val="21"/>
                <w:u w:val="none"/>
              </w:rPr>
            </w:pPr>
            <w:r>
              <w:rPr>
                <w:rFonts w:hint="eastAsia" w:ascii="宋体" w:hAnsi="宋体" w:eastAsia="方正仿宋_GBK" w:cs="方正仿宋_GBK"/>
                <w:b/>
                <w:i w:val="0"/>
                <w:color w:val="000000"/>
                <w:kern w:val="0"/>
                <w:sz w:val="21"/>
                <w:szCs w:val="21"/>
                <w:u w:val="none"/>
                <w:lang w:val="en-US" w:eastAsia="zh-CN" w:bidi="ar"/>
              </w:rPr>
              <w:t>二、细化盘活路径</w:t>
            </w:r>
          </w:p>
        </w:tc>
        <w:tc>
          <w:tcPr>
            <w:tcW w:w="1235" w:type="dxa"/>
            <w:vMerge w:val="restart"/>
            <w:tcBorders>
              <w:top w:val="single" w:color="000000" w:sz="4" w:space="0"/>
              <w:left w:val="single" w:color="000000" w:sz="4" w:space="0"/>
              <w:bottom w:val="single" w:color="000000" w:sz="4" w:space="0"/>
              <w:right w:val="single" w:color="000000" w:sz="4" w:space="0"/>
            </w:tcBorders>
            <w:noWrap w:val="0"/>
            <w:vAlign w:val="center"/>
          </w:tcPr>
          <w:p w14:paraId="361CB8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（六）产权主体自行改造</w:t>
            </w:r>
          </w:p>
        </w:tc>
        <w:tc>
          <w:tcPr>
            <w:tcW w:w="7488" w:type="dxa"/>
            <w:vMerge w:val="restart"/>
            <w:tcBorders>
              <w:top w:val="single" w:color="000000" w:sz="4" w:space="0"/>
              <w:left w:val="single" w:color="000000" w:sz="4" w:space="0"/>
              <w:bottom w:val="single" w:color="000000" w:sz="4" w:space="0"/>
              <w:right w:val="single" w:color="000000" w:sz="4" w:space="0"/>
            </w:tcBorders>
            <w:noWrap w:val="0"/>
            <w:vAlign w:val="center"/>
          </w:tcPr>
          <w:p w14:paraId="66427A2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 xml:space="preserve">    1.除有关法律法规，以及国有土地划拨决定书、国有土地使用权出让合同明确规定或者约定应当由政府收回土地使用权的土地外，在符合规划的前提下，原国有土地使用权人可通过自主、联营、入股、转让等多种方式对其使用的国有建设用地进行改造开发。</w:t>
            </w:r>
            <w:r>
              <w:rPr>
                <w:rFonts w:hint="eastAsia" w:ascii="宋体" w:hAnsi="宋体" w:eastAsia="方正仿宋_GBK" w:cs="方正仿宋_GBK"/>
                <w:i w:val="0"/>
                <w:color w:val="000000"/>
                <w:kern w:val="0"/>
                <w:sz w:val="21"/>
                <w:szCs w:val="21"/>
                <w:u w:val="none"/>
                <w:lang w:val="en-US" w:eastAsia="zh-CN" w:bidi="ar"/>
              </w:rPr>
              <w:br w:type="textWrapping"/>
            </w:r>
            <w:r>
              <w:rPr>
                <w:rFonts w:hint="eastAsia" w:ascii="宋体" w:hAnsi="宋体" w:eastAsia="方正仿宋_GBK" w:cs="方正仿宋_GBK"/>
                <w:i w:val="0"/>
                <w:color w:val="000000"/>
                <w:kern w:val="0"/>
                <w:sz w:val="21"/>
                <w:szCs w:val="21"/>
                <w:u w:val="none"/>
                <w:lang w:val="en-US" w:eastAsia="zh-CN" w:bidi="ar"/>
              </w:rPr>
              <w:t xml:space="preserve">    2.在满足规划、确保安全的条件下，鼓励支持老旧住房自主更新、原拆原建，改善居住条件。</w:t>
            </w: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09F8885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Style w:val="9"/>
                <w:rFonts w:hint="eastAsia" w:ascii="宋体" w:hAnsi="宋体" w:eastAsia="方正仿宋_GBK" w:cs="方正仿宋_GBK"/>
                <w:sz w:val="21"/>
                <w:szCs w:val="21"/>
                <w:lang w:val="en-US" w:eastAsia="zh-CN" w:bidi="ar"/>
              </w:rPr>
              <w:t>《中共中央</w:t>
            </w:r>
            <w:r>
              <w:rPr>
                <w:rStyle w:val="11"/>
                <w:rFonts w:hint="eastAsia" w:ascii="宋体" w:hAnsi="宋体" w:eastAsia="方正仿宋_GBK" w:cs="方正仿宋_GBK"/>
                <w:sz w:val="21"/>
                <w:szCs w:val="21"/>
                <w:lang w:val="en-US" w:eastAsia="zh-CN" w:bidi="ar"/>
              </w:rPr>
              <w:t> </w:t>
            </w:r>
            <w:r>
              <w:rPr>
                <w:rStyle w:val="9"/>
                <w:rFonts w:hint="eastAsia" w:ascii="宋体" w:hAnsi="宋体" w:eastAsia="方正仿宋_GBK" w:cs="方正仿宋_GBK"/>
                <w:sz w:val="21"/>
                <w:szCs w:val="21"/>
                <w:lang w:val="en-US" w:eastAsia="zh-CN" w:bidi="ar"/>
              </w:rPr>
              <w:t>国务院关于推动城市高质量发展的意见》</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3C62A5AC">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5ABE9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5"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3401AC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19</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E48568">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6E403E">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11F8C0">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0F57559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《关于深入推进城镇低效用地再开发的指导意见（试行）》（国土资发〔2016〕147号）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6059180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2026年11月14日印发，有效期5年。自然资发〔2023〕89号明确国土资发〔2016〕147号可继续使用，自然资发〔2026〕38号明确自然资发〔2023〕89号可继续使用。</w:t>
            </w:r>
          </w:p>
        </w:tc>
      </w:tr>
      <w:tr w14:paraId="493D2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0EFB4F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20</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E2C8F2">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D3C4DD">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23B0E4">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6D7F142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《中共中央办公厅 国务院办公厅关于持续推进城市更新行动的意见》（2025）</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42C914D4">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6F945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48C72F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21</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E9A582">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0E43B2">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D0F5C7">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671D6A9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《支持城市更新的规划与土地政策指引（2023版）》（自然资办发〔2023〕47号）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34DA888A">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5DD97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178195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22</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3D4031">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93AB44">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47709F">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5872162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《自然资源部关于开展低效用地再开发试点工作的通知》（自然资发〔2023〕171号）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0A88822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p>
        </w:tc>
      </w:tr>
      <w:tr w14:paraId="2E6F9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5"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26B912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23</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26F286">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restart"/>
            <w:tcBorders>
              <w:top w:val="single" w:color="000000" w:sz="4" w:space="0"/>
              <w:left w:val="single" w:color="000000" w:sz="4" w:space="0"/>
              <w:bottom w:val="single" w:color="000000" w:sz="4" w:space="0"/>
              <w:right w:val="single" w:color="000000" w:sz="4" w:space="0"/>
            </w:tcBorders>
            <w:noWrap w:val="0"/>
            <w:vAlign w:val="center"/>
          </w:tcPr>
          <w:p w14:paraId="0C7CD7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（七）支持集中成片改造</w:t>
            </w:r>
          </w:p>
        </w:tc>
        <w:tc>
          <w:tcPr>
            <w:tcW w:w="7488" w:type="dxa"/>
            <w:vMerge w:val="restart"/>
            <w:tcBorders>
              <w:top w:val="single" w:color="000000" w:sz="4" w:space="0"/>
              <w:left w:val="single" w:color="000000" w:sz="4" w:space="0"/>
              <w:bottom w:val="single" w:color="000000" w:sz="4" w:space="0"/>
              <w:right w:val="single" w:color="000000" w:sz="4" w:space="0"/>
            </w:tcBorders>
            <w:noWrap w:val="0"/>
            <w:vAlign w:val="center"/>
          </w:tcPr>
          <w:p w14:paraId="093C5C1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 xml:space="preserve">    1.对需要以政府储备为主推进低效用地再开发项目实施的，结合国土空间详细规划编制，探索以“统一规划、统一储备、统一开发、统一配套、统一供应”推动实施。</w:t>
            </w:r>
            <w:r>
              <w:rPr>
                <w:rFonts w:hint="eastAsia" w:ascii="宋体" w:hAnsi="宋体" w:eastAsia="方正仿宋_GBK" w:cs="方正仿宋_GBK"/>
                <w:i w:val="0"/>
                <w:color w:val="000000"/>
                <w:kern w:val="0"/>
                <w:sz w:val="21"/>
                <w:szCs w:val="21"/>
                <w:u w:val="none"/>
                <w:lang w:val="en-US" w:eastAsia="zh-CN" w:bidi="ar"/>
              </w:rPr>
              <w:br w:type="textWrapping"/>
            </w:r>
            <w:r>
              <w:rPr>
                <w:rFonts w:hint="eastAsia" w:ascii="宋体" w:hAnsi="宋体" w:eastAsia="方正仿宋_GBK" w:cs="方正仿宋_GBK"/>
                <w:i w:val="0"/>
                <w:color w:val="000000"/>
                <w:kern w:val="0"/>
                <w:sz w:val="21"/>
                <w:szCs w:val="21"/>
                <w:u w:val="none"/>
                <w:lang w:val="en-US" w:eastAsia="zh-CN" w:bidi="ar"/>
              </w:rPr>
              <w:t xml:space="preserve">    2.鼓励市场主体通过收购相邻多宗低效利用地块或多权利人组建联合体集中改造开发。</w:t>
            </w: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62C5B4C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《关于深入推进城镇低效用地再开发的指导意见（试行）》（国土资发〔2016〕147号）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643A2E6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2026年11月14日印发，有效期5年。自然资发〔2023〕89号明确国土资发〔2016〕147号可继续使用，自然资发〔2026〕38号明确自然资发〔2023〕89号可继续使用。</w:t>
            </w:r>
          </w:p>
        </w:tc>
      </w:tr>
      <w:tr w14:paraId="30856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4E524C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24</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4AD4DA">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0A8858">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E76C7B">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1E04211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《国务院办公厅关于完善建设用地使用权转让、出租、抵押二级市场的指导意见》（国办发〔2019〕34号）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558BE40B">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2DBE2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2827DC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25</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3B1FF7">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3F48FB">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8EAEA4">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75177E1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《自然资源部关于开展低效用地再开发试点工作的通知》（自然资发〔2023〕171号）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013EBD8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p>
        </w:tc>
      </w:tr>
      <w:tr w14:paraId="7A433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32004E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26</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82A849">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restart"/>
            <w:tcBorders>
              <w:top w:val="single" w:color="000000" w:sz="4" w:space="0"/>
              <w:left w:val="single" w:color="000000" w:sz="4" w:space="0"/>
              <w:bottom w:val="single" w:color="000000" w:sz="4" w:space="0"/>
              <w:right w:val="single" w:color="000000" w:sz="4" w:space="0"/>
            </w:tcBorders>
            <w:noWrap w:val="0"/>
            <w:vAlign w:val="center"/>
          </w:tcPr>
          <w:p w14:paraId="64A08B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（八）支持零星用地开发</w:t>
            </w:r>
          </w:p>
        </w:tc>
        <w:tc>
          <w:tcPr>
            <w:tcW w:w="7488" w:type="dxa"/>
            <w:vMerge w:val="restart"/>
            <w:tcBorders>
              <w:top w:val="single" w:color="000000" w:sz="4" w:space="0"/>
              <w:left w:val="single" w:color="000000" w:sz="4" w:space="0"/>
              <w:bottom w:val="single" w:color="000000" w:sz="4" w:space="0"/>
              <w:right w:val="single" w:color="000000" w:sz="4" w:space="0"/>
            </w:tcBorders>
            <w:noWrap w:val="0"/>
            <w:vAlign w:val="center"/>
          </w:tcPr>
          <w:p w14:paraId="5DF2F66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 xml:space="preserve">    对于道路绿化带、安全间距等代征地以及不能单独利用的边角地、零星用地等，确实无法按宗地单独供地的，报经城市人民政府批准后，可按划拨或协议有偿使用土地的有关规定合理确定土地使用者。城镇低效用地再开发涉及边角地、夹心地、插花地等难以独立开发的零星土地，可一并进行改造开发，但单宗零星用地面积原则上不超过3亩，且累计面积不超过改造开发项目总面积的10%。</w:t>
            </w: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1890A00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《自然资源部国家林业和草原局关于进一步做好自然资源要素保障的通知》（自然资发〔2026〕38号）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21C54B46">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7EFF4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6DB139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27</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73A5E4">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F4C025">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334FB9">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74DD081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《自然资源部关于进一步做好用地用海要素保障的通知》（自然资发〔2023〕89号）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40FE060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2023年6月13日印发，有效期至2025年12月31日。自然资发〔2026〕38号明确自然资发〔2023〕89号可继续使用。</w:t>
            </w:r>
          </w:p>
        </w:tc>
      </w:tr>
      <w:tr w14:paraId="2AD04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07C497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28</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845224">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DEA050">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6C6AA1">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52A6974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《自然资源要素支撑产业高质量发展指导目录（2024年本）》（自然资发〔2024〕273号）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5462E904">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497DF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02D6F8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29</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FE698E">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F169AA">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BD6996">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6E95688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《自然资源部关于开展低效用地再开发试点工作的通知》（自然资发〔2023〕171号）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7B609DC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p>
        </w:tc>
      </w:tr>
      <w:tr w14:paraId="2C134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5"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6041A8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30</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F76B22">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D75C50">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22A31F">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0721746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《关于深入推进城镇低效用地再开发的指导意见（试行）》（国土资发〔2016〕147号）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72E4365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kern w:val="2"/>
                <w:sz w:val="21"/>
                <w:szCs w:val="21"/>
                <w:u w:val="none"/>
                <w:lang w:val="en-US" w:eastAsia="zh-CN" w:bidi="ar-SA"/>
              </w:rPr>
            </w:pPr>
            <w:r>
              <w:rPr>
                <w:rFonts w:hint="eastAsia" w:ascii="宋体" w:hAnsi="宋体" w:eastAsia="方正仿宋_GBK" w:cs="方正仿宋_GBK"/>
                <w:i w:val="0"/>
                <w:color w:val="000000"/>
                <w:kern w:val="0"/>
                <w:sz w:val="21"/>
                <w:szCs w:val="21"/>
                <w:u w:val="none"/>
                <w:lang w:val="en-US" w:eastAsia="zh-CN" w:bidi="ar"/>
              </w:rPr>
              <w:t>2026年11月14日印发，有效期5年。自然资发〔2023〕89号明确国土资发〔2016〕147号可继续使用，自然资发〔2026〕38号明确自然资发〔2023〕89号可继续使用。</w:t>
            </w:r>
          </w:p>
        </w:tc>
      </w:tr>
      <w:tr w14:paraId="64AC4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2ACD9B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31</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612752">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43830C">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8F6C28">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376D5D6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kern w:val="0"/>
                <w:sz w:val="21"/>
                <w:szCs w:val="21"/>
                <w:u w:val="none"/>
                <w:lang w:bidi="ar"/>
              </w:rPr>
            </w:pPr>
            <w:r>
              <w:rPr>
                <w:rFonts w:hint="eastAsia" w:ascii="宋体" w:hAnsi="宋体" w:eastAsia="方正仿宋_GBK" w:cs="方正仿宋_GBK"/>
                <w:i w:val="0"/>
                <w:color w:val="000000"/>
                <w:kern w:val="0"/>
                <w:sz w:val="21"/>
                <w:szCs w:val="21"/>
                <w:u w:val="none"/>
                <w:lang w:val="en-US" w:eastAsia="zh-CN" w:bidi="ar"/>
              </w:rPr>
              <w:t>《协议出让国有土地使用权规范（试行）》</w:t>
            </w:r>
            <w:r>
              <w:rPr>
                <w:rFonts w:hint="eastAsia" w:ascii="宋体" w:hAnsi="宋体" w:eastAsia="方正仿宋_GBK" w:cs="方正仿宋_GBK"/>
                <w:color w:val="000000"/>
                <w:kern w:val="0"/>
                <w:sz w:val="21"/>
                <w:szCs w:val="21"/>
                <w:lang w:val="en-US" w:eastAsia="zh-CN" w:bidi="ar"/>
              </w:rPr>
              <w:t>（国土资发〔2006〕114号）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3BAA94EF">
            <w:pPr>
              <w:keepNext w:val="0"/>
              <w:keepLines w:val="0"/>
              <w:pageBreakBefore w:val="0"/>
              <w:widowControl/>
              <w:kinsoku/>
              <w:wordWrap/>
              <w:overflowPunct/>
              <w:topLinePunct w:val="0"/>
              <w:autoSpaceDE/>
              <w:autoSpaceDN/>
              <w:bidi w:val="0"/>
              <w:adjustRightInd/>
              <w:snapToGrid/>
              <w:spacing w:after="0" w:line="240" w:lineRule="exact"/>
              <w:rPr>
                <w:rFonts w:hint="eastAsia" w:ascii="宋体" w:hAnsi="宋体" w:eastAsia="方正仿宋_GBK" w:cs="方正仿宋_GBK"/>
                <w:i w:val="0"/>
                <w:color w:val="000000"/>
                <w:sz w:val="21"/>
                <w:szCs w:val="21"/>
                <w:u w:val="none"/>
              </w:rPr>
            </w:pPr>
          </w:p>
        </w:tc>
      </w:tr>
      <w:tr w14:paraId="2D3EF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8"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1C63E7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32</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F10919">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tcBorders>
              <w:top w:val="single" w:color="000000" w:sz="4" w:space="0"/>
              <w:left w:val="single" w:color="000000" w:sz="4" w:space="0"/>
              <w:bottom w:val="single" w:color="000000" w:sz="4" w:space="0"/>
              <w:right w:val="single" w:color="000000" w:sz="4" w:space="0"/>
            </w:tcBorders>
            <w:noWrap w:val="0"/>
            <w:vAlign w:val="center"/>
          </w:tcPr>
          <w:p w14:paraId="24E01E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（九）支持建设用地置换</w:t>
            </w:r>
          </w:p>
        </w:tc>
        <w:tc>
          <w:tcPr>
            <w:tcW w:w="7488" w:type="dxa"/>
            <w:tcBorders>
              <w:top w:val="single" w:color="000000" w:sz="4" w:space="0"/>
              <w:left w:val="single" w:color="000000" w:sz="4" w:space="0"/>
              <w:bottom w:val="single" w:color="000000" w:sz="4" w:space="0"/>
              <w:right w:val="single" w:color="000000" w:sz="4" w:space="0"/>
            </w:tcBorders>
            <w:noWrap w:val="0"/>
            <w:vAlign w:val="center"/>
          </w:tcPr>
          <w:p w14:paraId="0936A9B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 xml:space="preserve">    经认定为闲置土地，属于已缴清土地价款、落实项目资金，且因规划依法修改造成的，经属地人民政府批准，可为国有建设用地使用权人置换其他价值相当、用途相同的国有建设用地进行开发建设。涉及出让土地的，应当重新签订土地出让合同，并在合同中注明为置换土地。</w:t>
            </w: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0BCAC04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《闲置土地处置办法》（国土资源令53号）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4DE33228">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42531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7EE187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33</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707DFB">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restart"/>
            <w:tcBorders>
              <w:top w:val="single" w:color="000000" w:sz="4" w:space="0"/>
              <w:left w:val="single" w:color="000000" w:sz="4" w:space="0"/>
              <w:bottom w:val="single" w:color="000000" w:sz="4" w:space="0"/>
              <w:right w:val="single" w:color="000000" w:sz="4" w:space="0"/>
            </w:tcBorders>
            <w:noWrap w:val="0"/>
            <w:vAlign w:val="center"/>
          </w:tcPr>
          <w:p w14:paraId="77A801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（十）促进市场流通转让</w:t>
            </w:r>
          </w:p>
        </w:tc>
        <w:tc>
          <w:tcPr>
            <w:tcW w:w="7488" w:type="dxa"/>
            <w:vMerge w:val="restart"/>
            <w:tcBorders>
              <w:top w:val="single" w:color="000000" w:sz="4" w:space="0"/>
              <w:left w:val="single" w:color="000000" w:sz="4" w:space="0"/>
              <w:bottom w:val="single" w:color="000000" w:sz="4" w:space="0"/>
              <w:right w:val="single" w:color="000000" w:sz="4" w:space="0"/>
            </w:tcBorders>
            <w:noWrap w:val="0"/>
            <w:vAlign w:val="center"/>
          </w:tcPr>
          <w:p w14:paraId="32318D7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 xml:space="preserve">    1.以划拨方式取得的建设用地使用权转让，需经依法批准，土地用途符合《划拨用地目录》的，可不补缴土地出让价款，按转移登记办理；不符合《划拨用地目录》的，在符合规划的前提下，由受让方依法依规补缴土地出让价款。以出让方式取得的建设用地使用权转让，在符合法律法规规定和出让合同约定的前提下，应充分保障交易自由；原出让合同对转让条件另有约定的，从其约定。以作价出资或入股方式取得的建设用地使用权转让，参照以出让方式取得的建设用地使用权转让有关规定，不再报经原批准建设用地使用权作价出资或入股的机关批准；转让后，可保留为作价出资或入股方式，或直接变更为出让方式。</w:t>
            </w:r>
            <w:r>
              <w:rPr>
                <w:rFonts w:hint="eastAsia" w:ascii="宋体" w:hAnsi="宋体" w:eastAsia="方正仿宋_GBK" w:cs="方正仿宋_GBK"/>
                <w:i w:val="0"/>
                <w:color w:val="000000"/>
                <w:kern w:val="0"/>
                <w:sz w:val="21"/>
                <w:szCs w:val="21"/>
                <w:u w:val="none"/>
                <w:lang w:val="en-US" w:eastAsia="zh-CN" w:bidi="ar"/>
              </w:rPr>
              <w:br w:type="textWrapping"/>
            </w:r>
            <w:r>
              <w:rPr>
                <w:rFonts w:hint="eastAsia" w:ascii="宋体" w:hAnsi="宋体" w:eastAsia="方正仿宋_GBK" w:cs="方正仿宋_GBK"/>
                <w:i w:val="0"/>
                <w:color w:val="000000"/>
                <w:kern w:val="0"/>
                <w:sz w:val="21"/>
                <w:szCs w:val="21"/>
                <w:u w:val="none"/>
                <w:lang w:val="en-US" w:eastAsia="zh-CN" w:bidi="ar"/>
              </w:rPr>
              <w:t xml:space="preserve">    2.完善土地分割、合并转让政策。分割、合并后的地块应具备独立分宗条件，涉及公共配套设施建设和使用的，转让双方应在合同中明确有关权利义务。拟分割宗地已预售或存在多个权利主体的，应取得相关权利人同意，不得损害权利人合法权益。</w:t>
            </w:r>
            <w:r>
              <w:rPr>
                <w:rFonts w:hint="eastAsia" w:ascii="宋体" w:hAnsi="宋体" w:eastAsia="方正仿宋_GBK" w:cs="方正仿宋_GBK"/>
                <w:i w:val="0"/>
                <w:color w:val="000000"/>
                <w:kern w:val="0"/>
                <w:sz w:val="21"/>
                <w:szCs w:val="21"/>
                <w:u w:val="none"/>
                <w:lang w:val="en-US" w:eastAsia="zh-CN" w:bidi="ar"/>
              </w:rPr>
              <w:br w:type="textWrapping"/>
            </w:r>
            <w:r>
              <w:rPr>
                <w:rFonts w:hint="eastAsia" w:ascii="宋体" w:hAnsi="宋体" w:eastAsia="方正仿宋_GBK" w:cs="方正仿宋_GBK"/>
                <w:i w:val="0"/>
                <w:color w:val="000000"/>
                <w:kern w:val="0"/>
                <w:sz w:val="21"/>
                <w:szCs w:val="21"/>
                <w:u w:val="none"/>
                <w:lang w:val="en-US" w:eastAsia="zh-CN" w:bidi="ar"/>
              </w:rPr>
              <w:t xml:space="preserve">    3.推行预告登记制度。房屋建设工程类出让建设用地、开发投资总额未达25%的，可先签转让合同、办理预告登记，约定达标时限与责任。预告登记可作为办理立项、规划、施工、环保和消防等审批手续的依据。</w:t>
            </w:r>
            <w:r>
              <w:rPr>
                <w:rFonts w:hint="eastAsia" w:ascii="宋体" w:hAnsi="宋体" w:eastAsia="方正仿宋_GBK" w:cs="方正仿宋_GBK"/>
                <w:i w:val="0"/>
                <w:color w:val="000000"/>
                <w:kern w:val="0"/>
                <w:sz w:val="21"/>
                <w:szCs w:val="21"/>
                <w:u w:val="none"/>
                <w:lang w:val="en-US" w:eastAsia="zh-CN" w:bidi="ar"/>
              </w:rPr>
              <w:br w:type="textWrapping"/>
            </w:r>
            <w:r>
              <w:rPr>
                <w:rFonts w:hint="eastAsia" w:ascii="宋体" w:hAnsi="宋体" w:eastAsia="方正仿宋_GBK" w:cs="方正仿宋_GBK"/>
                <w:i w:val="0"/>
                <w:color w:val="000000"/>
                <w:kern w:val="0"/>
                <w:sz w:val="21"/>
                <w:szCs w:val="21"/>
                <w:u w:val="none"/>
                <w:lang w:val="en-US" w:eastAsia="zh-CN" w:bidi="ar"/>
              </w:rPr>
              <w:t xml:space="preserve">    4.持续推动住宅类不动产“带押过户”，并逐步向工业、商业等不动产类型拓展。</w:t>
            </w:r>
            <w:r>
              <w:rPr>
                <w:rFonts w:hint="eastAsia" w:ascii="宋体" w:hAnsi="宋体" w:eastAsia="方正仿宋_GBK" w:cs="方正仿宋_GBK"/>
                <w:i w:val="0"/>
                <w:color w:val="000000"/>
                <w:kern w:val="0"/>
                <w:sz w:val="21"/>
                <w:szCs w:val="21"/>
                <w:u w:val="none"/>
                <w:lang w:val="en-US" w:eastAsia="zh-CN" w:bidi="ar"/>
              </w:rPr>
              <w:br w:type="textWrapping"/>
            </w:r>
            <w:r>
              <w:rPr>
                <w:rFonts w:hint="eastAsia" w:ascii="宋体" w:hAnsi="宋体" w:eastAsia="方正仿宋_GBK" w:cs="方正仿宋_GBK"/>
                <w:i w:val="0"/>
                <w:color w:val="000000"/>
                <w:kern w:val="0"/>
                <w:sz w:val="21"/>
                <w:szCs w:val="21"/>
                <w:u w:val="none"/>
                <w:lang w:val="en-US" w:eastAsia="zh-CN" w:bidi="ar"/>
              </w:rPr>
              <w:t xml:space="preserve">    5.鼓励原土地使用权人依法以转让、部分转让或出租土地使用权等方式盘活利用。</w:t>
            </w: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3E3B3D2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Style w:val="9"/>
                <w:rFonts w:hint="eastAsia" w:ascii="宋体" w:hAnsi="宋体" w:eastAsia="方正仿宋_GBK" w:cs="方正仿宋_GBK"/>
                <w:sz w:val="21"/>
                <w:szCs w:val="21"/>
                <w:lang w:val="en-US" w:eastAsia="zh-CN" w:bidi="ar"/>
              </w:rPr>
              <w:t>《国务院办公厅关于完善建设用地使用权转让、出租</w:t>
            </w:r>
            <w:r>
              <w:rPr>
                <w:rStyle w:val="12"/>
                <w:rFonts w:hint="eastAsia" w:ascii="宋体" w:hAnsi="宋体" w:eastAsia="方正仿宋_GBK" w:cs="方正仿宋_GBK"/>
                <w:sz w:val="21"/>
                <w:szCs w:val="21"/>
                <w:lang w:val="en-US" w:eastAsia="zh-CN" w:bidi="ar"/>
              </w:rPr>
              <w:t xml:space="preserve"> </w:t>
            </w:r>
            <w:r>
              <w:rPr>
                <w:rStyle w:val="9"/>
                <w:rFonts w:hint="eastAsia" w:ascii="宋体" w:hAnsi="宋体" w:eastAsia="方正仿宋_GBK" w:cs="方正仿宋_GBK"/>
                <w:sz w:val="21"/>
                <w:szCs w:val="21"/>
                <w:lang w:val="en-US" w:eastAsia="zh-CN" w:bidi="ar"/>
              </w:rPr>
              <w:t>、抵押二</w:t>
            </w:r>
            <w:r>
              <w:rPr>
                <w:rStyle w:val="12"/>
                <w:rFonts w:hint="eastAsia" w:ascii="宋体" w:hAnsi="宋体" w:eastAsia="方正仿宋_GBK" w:cs="方正仿宋_GBK"/>
                <w:sz w:val="21"/>
                <w:szCs w:val="21"/>
                <w:lang w:val="en-US" w:eastAsia="zh-CN" w:bidi="ar"/>
              </w:rPr>
              <w:t xml:space="preserve"> </w:t>
            </w:r>
            <w:r>
              <w:rPr>
                <w:rStyle w:val="9"/>
                <w:rFonts w:hint="eastAsia" w:ascii="宋体" w:hAnsi="宋体" w:eastAsia="方正仿宋_GBK" w:cs="方正仿宋_GBK"/>
                <w:sz w:val="21"/>
                <w:szCs w:val="21"/>
                <w:lang w:val="en-US" w:eastAsia="zh-CN" w:bidi="ar"/>
              </w:rPr>
              <w:t>级市场的指导意见》（国办发〔2019〕34号）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760AB2B3">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31B16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6"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20BA02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34</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E673E9">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C5B8BF">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B55308">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6C2841D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《自然资源部 中国银行保险监督管理委员会关于协同做好不动产“带押过户”便民利企服务的通知》（自然资发〔2023〕29号）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7401DD03">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6C5D0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8"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6B3359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35</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B06005">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E109AA">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D81703">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23B6942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《支持城市更新的规划与土地政策指引（2023版）》（自然资办发〔2023〕47号）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26DE8390">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43152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50F339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36</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71A745">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D61648">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51B4AE">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61FF1B9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《关于加强节约集约用地促进高质量发展的若干措施》（云政办发〔2025〕34号）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3D7AC752">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3D096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8"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16EEB9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37</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B6D8AF">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A65BEE">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261969">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082EF84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《云南省自然资源厅关于加强土地要素保障支持民营经济高质量发展的实施意见》（云自然资〔2024〕2号）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7021A1D2">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02FCF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9"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3E7198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38</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38241F">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restart"/>
            <w:tcBorders>
              <w:top w:val="single" w:color="000000" w:sz="4" w:space="0"/>
              <w:left w:val="single" w:color="000000" w:sz="4" w:space="0"/>
              <w:bottom w:val="single" w:color="000000" w:sz="4" w:space="0"/>
              <w:right w:val="single" w:color="000000" w:sz="4" w:space="0"/>
            </w:tcBorders>
            <w:noWrap w:val="0"/>
            <w:vAlign w:val="center"/>
          </w:tcPr>
          <w:p w14:paraId="233A7D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（十一）市场化回购和退出</w:t>
            </w:r>
          </w:p>
        </w:tc>
        <w:tc>
          <w:tcPr>
            <w:tcW w:w="7488" w:type="dxa"/>
            <w:vMerge w:val="restart"/>
            <w:tcBorders>
              <w:top w:val="single" w:color="000000" w:sz="4" w:space="0"/>
              <w:left w:val="single" w:color="000000" w:sz="4" w:space="0"/>
              <w:bottom w:val="single" w:color="000000" w:sz="4" w:space="0"/>
              <w:right w:val="single" w:color="000000" w:sz="4" w:space="0"/>
            </w:tcBorders>
            <w:noWrap w:val="0"/>
            <w:vAlign w:val="center"/>
          </w:tcPr>
          <w:p w14:paraId="7AEFEFD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 xml:space="preserve">    1.属于政府、政府有关部门的行为造成闲置的，</w:t>
            </w:r>
            <w:r>
              <w:rPr>
                <w:rFonts w:hint="eastAsia" w:ascii="宋体" w:hAnsi="宋体" w:eastAsia="方正仿宋_GBK" w:cs="方正仿宋_GBK"/>
                <w:i w:val="0"/>
                <w:color w:val="000000"/>
                <w:kern w:val="0"/>
                <w:sz w:val="21"/>
                <w:szCs w:val="21"/>
                <w:highlight w:val="none"/>
                <w:u w:val="none"/>
                <w:lang w:val="en-US" w:eastAsia="zh-CN" w:bidi="ar"/>
              </w:rPr>
              <w:t>市、县自然资源主管部门</w:t>
            </w:r>
            <w:r>
              <w:rPr>
                <w:rFonts w:hint="eastAsia" w:ascii="宋体" w:hAnsi="宋体" w:eastAsia="方正仿宋_GBK" w:cs="方正仿宋_GBK"/>
                <w:i w:val="0"/>
                <w:color w:val="000000"/>
                <w:kern w:val="0"/>
                <w:sz w:val="21"/>
                <w:szCs w:val="21"/>
                <w:u w:val="none"/>
                <w:lang w:val="en-US" w:eastAsia="zh-CN" w:bidi="ar"/>
              </w:rPr>
              <w:t>应当与国有建设用地使用权人协商，可以协议有偿收回国有建设用地使用权。</w:t>
            </w:r>
            <w:r>
              <w:rPr>
                <w:rFonts w:hint="eastAsia" w:ascii="宋体" w:hAnsi="宋体" w:eastAsia="方正仿宋_GBK" w:cs="方正仿宋_GBK"/>
                <w:i w:val="0"/>
                <w:color w:val="000000"/>
                <w:kern w:val="0"/>
                <w:sz w:val="21"/>
                <w:szCs w:val="21"/>
                <w:u w:val="none"/>
                <w:lang w:val="en-US" w:eastAsia="zh-CN" w:bidi="ar"/>
              </w:rPr>
              <w:br w:type="textWrapping"/>
            </w:r>
            <w:r>
              <w:rPr>
                <w:rFonts w:hint="eastAsia" w:ascii="宋体" w:hAnsi="宋体" w:eastAsia="方正仿宋_GBK" w:cs="方正仿宋_GBK"/>
                <w:i w:val="0"/>
                <w:color w:val="000000"/>
                <w:kern w:val="0"/>
                <w:sz w:val="21"/>
                <w:szCs w:val="21"/>
                <w:u w:val="none"/>
                <w:lang w:val="en-US" w:eastAsia="zh-CN" w:bidi="ar"/>
              </w:rPr>
              <w:t xml:space="preserve">    2.探索跨空间单元统筹等政策,推动规划管控与市场激励良性互动，鼓励支持低效工业用地可以通过“以物业换土地”“以地换地”等方式向开发区集聚，运用“府院联动”机制化解涉法涉诉低效工业用地退出问题。</w:t>
            </w: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18E7D34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《闲置土地处置办法》（国土资源令53号）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45EA38A3">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342E4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9"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0EE416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39</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1C2E5B">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B7230F">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D99546">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639A408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《自然资源部关于开展低效用地再开发试点工作的通知》（自然资发〔2023〕171号）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41AD7AB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kern w:val="2"/>
                <w:sz w:val="21"/>
                <w:szCs w:val="21"/>
                <w:u w:val="none"/>
                <w:lang w:val="en-US" w:eastAsia="zh-CN" w:bidi="ar-SA"/>
              </w:rPr>
            </w:pPr>
          </w:p>
        </w:tc>
      </w:tr>
      <w:tr w14:paraId="62414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2"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1577D9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40</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51BC1A">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tcBorders>
              <w:top w:val="single" w:color="000000" w:sz="4" w:space="0"/>
              <w:left w:val="single" w:color="000000" w:sz="4" w:space="0"/>
              <w:bottom w:val="single" w:color="000000" w:sz="4" w:space="0"/>
              <w:right w:val="single" w:color="000000" w:sz="4" w:space="0"/>
            </w:tcBorders>
            <w:noWrap w:val="0"/>
            <w:vAlign w:val="center"/>
          </w:tcPr>
          <w:p w14:paraId="495FEE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（十二）空闲建设用地临时利用</w:t>
            </w:r>
          </w:p>
        </w:tc>
        <w:tc>
          <w:tcPr>
            <w:tcW w:w="7488" w:type="dxa"/>
            <w:tcBorders>
              <w:top w:val="single" w:color="000000" w:sz="4" w:space="0"/>
              <w:left w:val="single" w:color="000000" w:sz="4" w:space="0"/>
              <w:bottom w:val="single" w:color="000000" w:sz="4" w:space="0"/>
              <w:right w:val="single" w:color="000000" w:sz="4" w:space="0"/>
            </w:tcBorders>
            <w:noWrap w:val="0"/>
            <w:vAlign w:val="center"/>
          </w:tcPr>
          <w:p w14:paraId="6C436E9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 xml:space="preserve">    在维护相关方合法权益、保障安全、不影响远期规划实施前提下，空闲建设用地（不含临时用地）可临时利用，明确期限及到期恢复措施，纳入“一张图”实施监管。在与相关部门做好工作衔接的基础上，制定存量建（构）筑物不增加容积率和高度情况下的临时利用管控规则，对用途实行正面清单管理，纳入正面清单的无需办理规划许可手续。</w:t>
            </w: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38B45BF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《自然资源部 住房城乡建设部关于进一步支持城市更新行动若干措施的通知》（自然资发〔2025〕226号）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02123A82">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6BB04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6CAB3F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41</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55E71E">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restart"/>
            <w:tcBorders>
              <w:top w:val="single" w:color="000000" w:sz="4" w:space="0"/>
              <w:left w:val="single" w:color="000000" w:sz="4" w:space="0"/>
              <w:bottom w:val="single" w:color="000000" w:sz="4" w:space="0"/>
              <w:right w:val="single" w:color="000000" w:sz="4" w:space="0"/>
            </w:tcBorders>
            <w:noWrap w:val="0"/>
            <w:vAlign w:val="center"/>
          </w:tcPr>
          <w:p w14:paraId="53BE68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（十三）全域土地综合整治</w:t>
            </w:r>
          </w:p>
        </w:tc>
        <w:tc>
          <w:tcPr>
            <w:tcW w:w="7488" w:type="dxa"/>
            <w:vMerge w:val="restart"/>
            <w:tcBorders>
              <w:top w:val="single" w:color="000000" w:sz="4" w:space="0"/>
              <w:left w:val="single" w:color="000000" w:sz="4" w:space="0"/>
              <w:bottom w:val="single" w:color="000000" w:sz="4" w:space="0"/>
              <w:right w:val="single" w:color="000000" w:sz="4" w:space="0"/>
            </w:tcBorders>
            <w:noWrap w:val="0"/>
            <w:vAlign w:val="center"/>
          </w:tcPr>
          <w:p w14:paraId="1081205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 xml:space="preserve">    对农村零散、闲置、低效建设用地进行整理盘活，统筹推进建设用地布局优化、村庄建设用地整理、废弃采矿用地复垦利用、城镇低效用地再开发等，确保城镇开发边界规模和扩展倍数不突破、整治区域内建设用地总面积不增加，进一步提升土地资源配置效率和节约集约利用水平。</w:t>
            </w:r>
            <w:r>
              <w:rPr>
                <w:rFonts w:hint="eastAsia" w:ascii="宋体" w:hAnsi="宋体" w:eastAsia="方正仿宋_GBK" w:cs="方正仿宋_GBK"/>
                <w:i w:val="0"/>
                <w:color w:val="000000"/>
                <w:kern w:val="0"/>
                <w:sz w:val="21"/>
                <w:szCs w:val="21"/>
                <w:u w:val="none"/>
                <w:lang w:val="en-US" w:eastAsia="zh-CN" w:bidi="ar"/>
              </w:rPr>
              <w:br w:type="textWrapping"/>
            </w:r>
            <w:r>
              <w:rPr>
                <w:rFonts w:hint="eastAsia" w:ascii="宋体" w:hAnsi="宋体" w:eastAsia="方正仿宋_GBK" w:cs="方正仿宋_GBK"/>
                <w:i w:val="0"/>
                <w:color w:val="000000"/>
                <w:kern w:val="0"/>
                <w:sz w:val="21"/>
                <w:szCs w:val="21"/>
                <w:u w:val="none"/>
                <w:lang w:val="en-US" w:eastAsia="zh-CN" w:bidi="ar"/>
              </w:rPr>
              <w:t xml:space="preserve">    1.可运用城乡建设用地增减挂钩政策，对零星、破碎、插花的建设用地地块实施统一整治，形成集中连片的建设用地，促进集约利用。增减挂钩节余指标按规定可在省域内有偿调剂。</w:t>
            </w:r>
            <w:r>
              <w:rPr>
                <w:rFonts w:hint="eastAsia" w:ascii="宋体" w:hAnsi="宋体" w:eastAsia="方正仿宋_GBK" w:cs="方正仿宋_GBK"/>
                <w:i w:val="0"/>
                <w:color w:val="000000"/>
                <w:kern w:val="0"/>
                <w:sz w:val="21"/>
                <w:szCs w:val="21"/>
                <w:u w:val="none"/>
                <w:lang w:val="en-US" w:eastAsia="zh-CN" w:bidi="ar"/>
              </w:rPr>
              <w:br w:type="textWrapping"/>
            </w:r>
            <w:r>
              <w:rPr>
                <w:rFonts w:hint="eastAsia" w:ascii="宋体" w:hAnsi="宋体" w:eastAsia="方正仿宋_GBK" w:cs="方正仿宋_GBK"/>
                <w:i w:val="0"/>
                <w:color w:val="000000"/>
                <w:kern w:val="0"/>
                <w:sz w:val="21"/>
                <w:szCs w:val="21"/>
                <w:u w:val="none"/>
                <w:lang w:val="en-US" w:eastAsia="zh-CN" w:bidi="ar"/>
              </w:rPr>
              <w:t xml:space="preserve">    2.对整治区域内认定的城镇低效用地，可通过规划引领、土地保障、历史遗留问题处理等措施，在城中村、老旧厂区及城乡融合发展等区域整治盘活。</w:t>
            </w:r>
            <w:r>
              <w:rPr>
                <w:rFonts w:hint="eastAsia" w:ascii="宋体" w:hAnsi="宋体" w:eastAsia="方正仿宋_GBK" w:cs="方正仿宋_GBK"/>
                <w:i w:val="0"/>
                <w:color w:val="000000"/>
                <w:kern w:val="0"/>
                <w:sz w:val="21"/>
                <w:szCs w:val="21"/>
                <w:u w:val="none"/>
                <w:lang w:val="en-US" w:eastAsia="zh-CN" w:bidi="ar"/>
              </w:rPr>
              <w:br w:type="textWrapping"/>
            </w:r>
            <w:r>
              <w:rPr>
                <w:rFonts w:hint="eastAsia" w:ascii="宋体" w:hAnsi="宋体" w:eastAsia="方正仿宋_GBK" w:cs="方正仿宋_GBK"/>
                <w:i w:val="0"/>
                <w:color w:val="000000"/>
                <w:kern w:val="0"/>
                <w:sz w:val="21"/>
                <w:szCs w:val="21"/>
                <w:u w:val="none"/>
                <w:lang w:val="en-US" w:eastAsia="zh-CN" w:bidi="ar"/>
              </w:rPr>
              <w:t xml:space="preserve">    3.按照国家统一部署实施农村集体经营性建设用地入市的，可结合整治工作将零星、插花的小块存量集体建设用地整治归并为大块宗地，依据国土空间规划属于经营性用途的允许入市。</w:t>
            </w:r>
            <w:r>
              <w:rPr>
                <w:rFonts w:hint="eastAsia" w:ascii="宋体" w:hAnsi="宋体" w:eastAsia="方正仿宋_GBK" w:cs="方正仿宋_GBK"/>
                <w:i w:val="0"/>
                <w:color w:val="000000"/>
                <w:kern w:val="0"/>
                <w:sz w:val="21"/>
                <w:szCs w:val="21"/>
                <w:u w:val="none"/>
                <w:lang w:val="en-US" w:eastAsia="zh-CN" w:bidi="ar"/>
              </w:rPr>
              <w:br w:type="textWrapping"/>
            </w:r>
            <w:r>
              <w:rPr>
                <w:rFonts w:hint="eastAsia" w:ascii="宋体" w:hAnsi="宋体" w:eastAsia="方正仿宋_GBK" w:cs="方正仿宋_GBK"/>
                <w:i w:val="0"/>
                <w:color w:val="000000"/>
                <w:kern w:val="0"/>
                <w:sz w:val="21"/>
                <w:szCs w:val="21"/>
                <w:u w:val="none"/>
                <w:lang w:val="en-US" w:eastAsia="zh-CN" w:bidi="ar"/>
              </w:rPr>
              <w:t xml:space="preserve">    4.在符合国士空间规划确定的用地类型、控制性高度、乡村风貌、基础设施和符合用途管制要求、确保安全的前提下，鼓励对依法登记的宅基地等农村建设用地进行复合利用，发展乡村民宿、农产品初加工、电子商务、民俗体验、文化创意等农村产业。</w:t>
            </w:r>
            <w:r>
              <w:rPr>
                <w:rFonts w:hint="eastAsia" w:ascii="宋体" w:hAnsi="宋体" w:eastAsia="方正仿宋_GBK" w:cs="方正仿宋_GBK"/>
                <w:i w:val="0"/>
                <w:color w:val="000000"/>
                <w:kern w:val="0"/>
                <w:sz w:val="21"/>
                <w:szCs w:val="21"/>
                <w:u w:val="none"/>
                <w:lang w:val="en-US" w:eastAsia="zh-CN" w:bidi="ar"/>
              </w:rPr>
              <w:br w:type="textWrapping"/>
            </w:r>
            <w:r>
              <w:rPr>
                <w:rFonts w:hint="eastAsia" w:ascii="宋体" w:hAnsi="宋体" w:eastAsia="方正仿宋_GBK" w:cs="方正仿宋_GBK"/>
                <w:i w:val="0"/>
                <w:color w:val="000000"/>
                <w:kern w:val="0"/>
                <w:sz w:val="21"/>
                <w:szCs w:val="21"/>
                <w:u w:val="none"/>
                <w:lang w:val="en-US" w:eastAsia="zh-CN" w:bidi="ar"/>
              </w:rPr>
              <w:t xml:space="preserve">    5.推进废弃采矿用地复垦利用，按照“宜耕则耕、宜林则林、宜草则草、宜建则建”的原则，整治后产生的新增耕地、建设用地和腾退的建设用地指标按照有关规定统筹使用。</w:t>
            </w: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511CBC1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kern w:val="0"/>
                <w:sz w:val="21"/>
                <w:szCs w:val="21"/>
                <w:u w:val="none"/>
                <w:lang w:bidi="ar"/>
              </w:rPr>
            </w:pPr>
            <w:r>
              <w:rPr>
                <w:rFonts w:hint="eastAsia" w:ascii="宋体" w:hAnsi="宋体" w:eastAsia="方正仿宋_GBK" w:cs="方正仿宋_GBK"/>
                <w:i w:val="0"/>
                <w:color w:val="000000"/>
                <w:kern w:val="0"/>
                <w:sz w:val="21"/>
                <w:szCs w:val="21"/>
                <w:u w:val="none"/>
                <w:lang w:val="en-US" w:eastAsia="zh-CN" w:bidi="ar"/>
              </w:rPr>
              <w:t>《</w:t>
            </w:r>
            <w:r>
              <w:rPr>
                <w:rFonts w:hint="eastAsia" w:ascii="宋体" w:hAnsi="宋体" w:eastAsia="方正仿宋_GBK" w:cs="方正仿宋_GBK"/>
                <w:i w:val="0"/>
                <w:iCs w:val="0"/>
                <w:caps w:val="0"/>
                <w:color w:val="000000"/>
                <w:spacing w:val="0"/>
                <w:kern w:val="0"/>
                <w:sz w:val="21"/>
                <w:szCs w:val="21"/>
                <w:u w:val="none"/>
                <w:shd w:val="clear" w:color="auto" w:fill="auto"/>
                <w:lang w:bidi="ar"/>
              </w:rPr>
              <w:t>自然资源部办公厅关于印发</w:t>
            </w:r>
            <w:r>
              <w:rPr>
                <w:rFonts w:hint="eastAsia" w:ascii="宋体" w:hAnsi="宋体" w:eastAsia="方正仿宋_GBK" w:cs="方正仿宋_GBK"/>
                <w:i w:val="0"/>
                <w:iCs w:val="0"/>
                <w:caps w:val="0"/>
                <w:color w:val="000000"/>
                <w:spacing w:val="0"/>
                <w:kern w:val="0"/>
                <w:sz w:val="21"/>
                <w:szCs w:val="21"/>
                <w:u w:val="none"/>
                <w:shd w:val="clear" w:color="auto" w:fill="auto"/>
                <w:lang w:val="en-US" w:eastAsia="zh-CN" w:bidi="ar"/>
              </w:rPr>
              <w:t>〈</w:t>
            </w:r>
            <w:r>
              <w:rPr>
                <w:rFonts w:hint="eastAsia" w:ascii="宋体" w:hAnsi="宋体" w:eastAsia="方正仿宋_GBK" w:cs="方正仿宋_GBK"/>
                <w:i w:val="0"/>
                <w:color w:val="000000"/>
                <w:kern w:val="0"/>
                <w:sz w:val="21"/>
                <w:szCs w:val="21"/>
                <w:u w:val="none"/>
                <w:lang w:val="en-US" w:eastAsia="zh-CN" w:bidi="ar"/>
              </w:rPr>
              <w:t>全域土地综合整治实施指南（试行）</w:t>
            </w:r>
            <w:r>
              <w:rPr>
                <w:rFonts w:hint="eastAsia" w:ascii="宋体" w:hAnsi="宋体" w:eastAsia="方正仿宋_GBK" w:cs="方正仿宋_GBK"/>
                <w:i w:val="0"/>
                <w:iCs w:val="0"/>
                <w:caps w:val="0"/>
                <w:color w:val="000000"/>
                <w:spacing w:val="0"/>
                <w:kern w:val="0"/>
                <w:sz w:val="21"/>
                <w:szCs w:val="21"/>
                <w:u w:val="none"/>
                <w:shd w:val="clear" w:color="auto" w:fill="auto"/>
                <w:lang w:val="en-US" w:eastAsia="zh-CN" w:bidi="ar"/>
              </w:rPr>
              <w:t>〉</w:t>
            </w:r>
            <w:r>
              <w:rPr>
                <w:rStyle w:val="8"/>
                <w:rFonts w:hint="eastAsia" w:ascii="宋体" w:hAnsi="宋体" w:eastAsia="方正仿宋_GBK" w:cs="方正仿宋_GBK"/>
                <w:b w:val="0"/>
                <w:bCs/>
                <w:i w:val="0"/>
                <w:iCs w:val="0"/>
                <w:caps w:val="0"/>
                <w:color w:val="000000"/>
                <w:spacing w:val="0"/>
                <w:kern w:val="0"/>
                <w:sz w:val="21"/>
                <w:szCs w:val="21"/>
                <w:shd w:val="clear" w:color="auto" w:fill="auto"/>
                <w:lang w:bidi="ar"/>
              </w:rPr>
              <w:t>的通知</w:t>
            </w:r>
            <w:r>
              <w:rPr>
                <w:rFonts w:hint="eastAsia" w:ascii="宋体" w:hAnsi="宋体" w:eastAsia="方正仿宋_GBK" w:cs="方正仿宋_GBK"/>
                <w:bCs/>
                <w:i w:val="0"/>
                <w:color w:val="000000"/>
                <w:kern w:val="0"/>
                <w:sz w:val="21"/>
                <w:szCs w:val="21"/>
                <w:u w:val="none"/>
                <w:lang w:val="en-US" w:eastAsia="zh-CN" w:bidi="ar"/>
              </w:rPr>
              <w:t>》（</w:t>
            </w:r>
            <w:r>
              <w:rPr>
                <w:rFonts w:hint="eastAsia" w:ascii="宋体" w:hAnsi="宋体" w:eastAsia="方正仿宋_GBK" w:cs="方正仿宋_GBK"/>
                <w:i w:val="0"/>
                <w:iCs w:val="0"/>
                <w:caps w:val="0"/>
                <w:color w:val="000000"/>
                <w:spacing w:val="0"/>
                <w:kern w:val="0"/>
                <w:sz w:val="21"/>
                <w:szCs w:val="21"/>
                <w:shd w:val="clear" w:color="auto" w:fill="auto"/>
                <w:lang w:bidi="ar"/>
              </w:rPr>
              <w:t>自然资办发〔2024〕57号</w:t>
            </w:r>
            <w:r>
              <w:rPr>
                <w:rFonts w:hint="eastAsia" w:ascii="宋体" w:hAnsi="宋体" w:eastAsia="方正仿宋_GBK" w:cs="方正仿宋_GBK"/>
                <w:i w:val="0"/>
                <w:iCs w:val="0"/>
                <w:caps w:val="0"/>
                <w:color w:val="000000"/>
                <w:spacing w:val="0"/>
                <w:kern w:val="0"/>
                <w:sz w:val="21"/>
                <w:szCs w:val="21"/>
                <w:shd w:val="clear" w:color="auto" w:fill="auto"/>
                <w:lang w:eastAsia="zh-CN" w:bidi="ar"/>
              </w:rPr>
              <w:t>）</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2E046236">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4C3B3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1"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31DE9E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42</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FB70C2">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02310A">
            <w:pPr>
              <w:keepNext w:val="0"/>
              <w:keepLines w:val="0"/>
              <w:pageBreakBefore w:val="0"/>
              <w:widowControl/>
              <w:kinsoku/>
              <w:wordWrap/>
              <w:overflowPunct/>
              <w:topLinePunct w:val="0"/>
              <w:autoSpaceDE/>
              <w:autoSpaceDN/>
              <w:bidi w:val="0"/>
              <w:adjustRightInd/>
              <w:snapToGrid/>
              <w:spacing w:after="0" w:line="240" w:lineRule="exact"/>
              <w:jc w:val="left"/>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BB12A8">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26D7F05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w:t>
            </w:r>
            <w:r>
              <w:rPr>
                <w:rFonts w:hint="eastAsia" w:ascii="宋体" w:hAnsi="宋体" w:eastAsia="方正仿宋_GBK" w:cs="方正仿宋_GBK"/>
                <w:b w:val="0"/>
                <w:bCs w:val="0"/>
                <w:i w:val="0"/>
                <w:iCs w:val="0"/>
                <w:caps w:val="0"/>
                <w:color w:val="000000"/>
                <w:spacing w:val="0"/>
                <w:kern w:val="0"/>
                <w:sz w:val="21"/>
                <w:szCs w:val="21"/>
                <w:u w:val="none"/>
                <w:shd w:val="clear" w:color="auto" w:fill="auto"/>
                <w:lang w:bidi="ar"/>
              </w:rPr>
              <w:t>云南省人民政府办公厅印发</w:t>
            </w:r>
            <w:r>
              <w:rPr>
                <w:rFonts w:hint="eastAsia" w:ascii="宋体" w:hAnsi="宋体" w:eastAsia="方正仿宋_GBK" w:cs="方正仿宋_GBK"/>
                <w:b w:val="0"/>
                <w:bCs w:val="0"/>
                <w:i w:val="0"/>
                <w:iCs w:val="0"/>
                <w:caps w:val="0"/>
                <w:color w:val="000000"/>
                <w:spacing w:val="0"/>
                <w:kern w:val="0"/>
                <w:sz w:val="21"/>
                <w:szCs w:val="21"/>
                <w:u w:val="none"/>
                <w:shd w:val="clear" w:color="auto" w:fill="auto"/>
                <w:lang w:val="en-US" w:eastAsia="zh-CN" w:bidi="ar"/>
              </w:rPr>
              <w:t>〈</w:t>
            </w:r>
            <w:r>
              <w:rPr>
                <w:rFonts w:hint="eastAsia" w:ascii="宋体" w:hAnsi="宋体" w:eastAsia="方正仿宋_GBK" w:cs="方正仿宋_GBK"/>
                <w:i w:val="0"/>
                <w:color w:val="000000"/>
                <w:kern w:val="0"/>
                <w:sz w:val="21"/>
                <w:szCs w:val="21"/>
                <w:u w:val="none"/>
                <w:lang w:val="en-US" w:eastAsia="zh-CN" w:bidi="ar"/>
              </w:rPr>
              <w:t>关于加强节约集约用地促进高质量发展的若干措施</w:t>
            </w:r>
            <w:r>
              <w:rPr>
                <w:rFonts w:hint="eastAsia" w:ascii="宋体" w:hAnsi="宋体" w:eastAsia="方正仿宋_GBK" w:cs="方正仿宋_GBK"/>
                <w:b w:val="0"/>
                <w:bCs w:val="0"/>
                <w:i w:val="0"/>
                <w:iCs w:val="0"/>
                <w:caps w:val="0"/>
                <w:color w:val="000000"/>
                <w:spacing w:val="0"/>
                <w:kern w:val="0"/>
                <w:sz w:val="21"/>
                <w:szCs w:val="21"/>
                <w:u w:val="none"/>
                <w:shd w:val="clear" w:color="auto" w:fill="auto"/>
                <w:lang w:val="en-US" w:eastAsia="zh-CN" w:bidi="ar"/>
              </w:rPr>
              <w:t>〉</w:t>
            </w:r>
            <w:r>
              <w:rPr>
                <w:rFonts w:hint="eastAsia" w:ascii="宋体" w:hAnsi="宋体" w:eastAsia="方正仿宋_GBK" w:cs="方正仿宋_GBK"/>
                <w:i w:val="0"/>
                <w:color w:val="000000"/>
                <w:kern w:val="0"/>
                <w:sz w:val="21"/>
                <w:szCs w:val="21"/>
                <w:u w:val="none"/>
                <w:lang w:val="en-US" w:eastAsia="zh-CN" w:bidi="ar"/>
              </w:rPr>
              <w:t>的通知》（云政办发〔2025〕34号）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461AF5D2">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70A9A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2"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1045C8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43</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AEF2CB">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EDA640">
            <w:pPr>
              <w:keepNext w:val="0"/>
              <w:keepLines w:val="0"/>
              <w:pageBreakBefore w:val="0"/>
              <w:widowControl/>
              <w:kinsoku/>
              <w:wordWrap/>
              <w:overflowPunct/>
              <w:topLinePunct w:val="0"/>
              <w:autoSpaceDE/>
              <w:autoSpaceDN/>
              <w:bidi w:val="0"/>
              <w:adjustRightInd/>
              <w:snapToGrid/>
              <w:spacing w:after="0" w:line="240" w:lineRule="exact"/>
              <w:jc w:val="left"/>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144929">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3332237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《云南省自然资源厅关于深入推进全域土地综合整治工作的实施意见》（云自然资修复〔2025〕279号）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22D8799E">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5DD53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3CAA57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44</w:t>
            </w:r>
          </w:p>
        </w:tc>
        <w:tc>
          <w:tcPr>
            <w:tcW w:w="1294" w:type="dxa"/>
            <w:vMerge w:val="restart"/>
            <w:tcBorders>
              <w:top w:val="single" w:color="000000" w:sz="4" w:space="0"/>
              <w:left w:val="single" w:color="000000" w:sz="4" w:space="0"/>
              <w:bottom w:val="single" w:color="000000" w:sz="4" w:space="0"/>
              <w:right w:val="single" w:color="000000" w:sz="4" w:space="0"/>
            </w:tcBorders>
            <w:noWrap w:val="0"/>
            <w:vAlign w:val="center"/>
          </w:tcPr>
          <w:p w14:paraId="214634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640AEF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119399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39688D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04A25A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3402F1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649ABA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4DEB37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5EDE33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1EED6A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35426E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45CCF8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58153C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6C9241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3AD56A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39351A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767DA7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r>
              <w:rPr>
                <w:rFonts w:hint="eastAsia" w:ascii="宋体" w:hAnsi="宋体" w:eastAsia="方正仿宋_GBK" w:cs="方正仿宋_GBK"/>
                <w:b/>
                <w:i w:val="0"/>
                <w:color w:val="000000"/>
                <w:kern w:val="0"/>
                <w:sz w:val="21"/>
                <w:szCs w:val="21"/>
                <w:u w:val="none"/>
                <w:lang w:val="en-US" w:eastAsia="zh-CN" w:bidi="ar"/>
              </w:rPr>
              <w:t>三、加强供应管理</w:t>
            </w:r>
          </w:p>
          <w:p w14:paraId="1D9953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7A1050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7FA653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29E6BA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48F365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080861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7914E0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40DEF6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102AE2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5C73E5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620941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25F060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250D21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2F0911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15488B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77E950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727CD7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23DD4D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336689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7FEE8F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3B4128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1CC072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4D3BD9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0C89DD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4DE407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64FC0E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33853A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04A023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1058B1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5C1A6E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250772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73E107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480DD4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384ABC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74A515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5CCC19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422539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595ADE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14DAF2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00CB79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2F57A5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5C4035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kern w:val="0"/>
                <w:sz w:val="21"/>
                <w:szCs w:val="21"/>
                <w:u w:val="none"/>
                <w:lang w:val="en-US" w:eastAsia="zh-CN" w:bidi="ar"/>
              </w:rPr>
            </w:pPr>
          </w:p>
          <w:p w14:paraId="3D1DC9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sz w:val="21"/>
                <w:szCs w:val="21"/>
                <w:u w:val="none"/>
              </w:rPr>
            </w:pPr>
            <w:r>
              <w:rPr>
                <w:rFonts w:hint="eastAsia" w:ascii="宋体" w:hAnsi="宋体" w:eastAsia="方正仿宋_GBK" w:cs="方正仿宋_GBK"/>
                <w:b/>
                <w:i w:val="0"/>
                <w:color w:val="000000"/>
                <w:kern w:val="0"/>
                <w:sz w:val="21"/>
                <w:szCs w:val="21"/>
                <w:u w:val="none"/>
                <w:lang w:val="en-US" w:eastAsia="zh-CN" w:bidi="ar"/>
              </w:rPr>
              <w:t>三、加强供应管理</w:t>
            </w:r>
          </w:p>
        </w:tc>
        <w:tc>
          <w:tcPr>
            <w:tcW w:w="1235" w:type="dxa"/>
            <w:vMerge w:val="restart"/>
            <w:tcBorders>
              <w:top w:val="single" w:color="000000" w:sz="4" w:space="0"/>
              <w:left w:val="single" w:color="000000" w:sz="4" w:space="0"/>
              <w:bottom w:val="single" w:color="000000" w:sz="4" w:space="0"/>
              <w:right w:val="single" w:color="000000" w:sz="4" w:space="0"/>
            </w:tcBorders>
            <w:noWrap w:val="0"/>
            <w:vAlign w:val="center"/>
          </w:tcPr>
          <w:p w14:paraId="6DAECA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（十四）产业链供应</w:t>
            </w:r>
          </w:p>
        </w:tc>
        <w:tc>
          <w:tcPr>
            <w:tcW w:w="7488" w:type="dxa"/>
            <w:vMerge w:val="restart"/>
            <w:tcBorders>
              <w:top w:val="single" w:color="000000" w:sz="4" w:space="0"/>
              <w:left w:val="single" w:color="000000" w:sz="4" w:space="0"/>
              <w:bottom w:val="single" w:color="000000" w:sz="4" w:space="0"/>
              <w:right w:val="single" w:color="000000" w:sz="4" w:space="0"/>
            </w:tcBorders>
            <w:noWrap w:val="0"/>
            <w:vAlign w:val="center"/>
          </w:tcPr>
          <w:p w14:paraId="47FA601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 xml:space="preserve">    1.实行产业链供地，对产业链关键环节、核心项目涉及的两宗以上产业用地可整体供应，可由多个产业链上下游企业组建联合体参与土地竞买。</w:t>
            </w:r>
            <w:r>
              <w:rPr>
                <w:rFonts w:hint="eastAsia" w:ascii="宋体" w:hAnsi="宋体" w:eastAsia="方正仿宋_GBK" w:cs="方正仿宋_GBK"/>
                <w:i w:val="0"/>
                <w:color w:val="000000"/>
                <w:kern w:val="0"/>
                <w:sz w:val="21"/>
                <w:szCs w:val="21"/>
                <w:u w:val="none"/>
                <w:lang w:val="en-US" w:eastAsia="zh-CN" w:bidi="ar"/>
              </w:rPr>
              <w:br w:type="textWrapping"/>
            </w:r>
            <w:r>
              <w:rPr>
                <w:rFonts w:hint="eastAsia" w:ascii="宋体" w:hAnsi="宋体" w:eastAsia="方正仿宋_GBK" w:cs="方正仿宋_GBK"/>
                <w:i w:val="0"/>
                <w:color w:val="000000"/>
                <w:kern w:val="0"/>
                <w:sz w:val="21"/>
                <w:szCs w:val="21"/>
                <w:u w:val="none"/>
                <w:lang w:val="en-US" w:eastAsia="zh-CN" w:bidi="ar"/>
              </w:rPr>
              <w:t xml:space="preserve">    2.在保障土地市场公平、公正、公开的前提下，支持工业用地“带方案”出让，将产业准入要求、标准地相关条件及土地利用要求统一纳入供地条件，进一步规范优化工业用地供应流程。</w:t>
            </w:r>
            <w:r>
              <w:rPr>
                <w:rFonts w:hint="eastAsia" w:ascii="宋体" w:hAnsi="宋体" w:eastAsia="方正仿宋_GBK" w:cs="方正仿宋_GBK"/>
                <w:i w:val="0"/>
                <w:color w:val="000000"/>
                <w:kern w:val="0"/>
                <w:sz w:val="21"/>
                <w:szCs w:val="21"/>
                <w:u w:val="none"/>
                <w:lang w:val="en-US" w:eastAsia="zh-CN" w:bidi="ar"/>
              </w:rPr>
              <w:br w:type="textWrapping"/>
            </w:r>
            <w:r>
              <w:rPr>
                <w:rFonts w:hint="eastAsia" w:ascii="宋体" w:hAnsi="宋体" w:eastAsia="方正仿宋_GBK" w:cs="方正仿宋_GBK"/>
                <w:i w:val="0"/>
                <w:color w:val="000000"/>
                <w:kern w:val="0"/>
                <w:sz w:val="21"/>
                <w:szCs w:val="21"/>
                <w:u w:val="none"/>
                <w:lang w:val="en-US" w:eastAsia="zh-CN" w:bidi="ar"/>
              </w:rPr>
              <w:t xml:space="preserve">    3.存量建设用地盘活用于产业项目的，原则上应纳入“标准地”全生命周期监管体系。</w:t>
            </w: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364879F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《自然资源要素支撑产业高质量发展指导目录（2024年本）》（自然资发〔2024〕273号）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33A1EA62">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7AC30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53B46C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45</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74501E">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D11B82">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7B1D3F">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04D9F02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《招标拍卖挂牌出让国有土地使用权规范（试行）》（国土资发〔2006〕114号）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1DFED805">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66AC0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4B51A5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46</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882DC4">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B2F66E">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4C1C39">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57BD523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《云南省工业项目“标准地”出让改革工作指引》（云自然资〔2023〕32号）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468165D4">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0E11B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35FFFE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47</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4A7112">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8451D2">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ACB50F">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6AC8755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《云南省自然资源厅关于进一步规范国有建设用地供应的通知》（云自然资权益〔2026〕17号）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3984678A">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11232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8"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6F19D1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48</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E45284">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2D8143">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35B66C">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3B63C0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w:t>
            </w:r>
            <w:r>
              <w:rPr>
                <w:rFonts w:hint="eastAsia" w:ascii="宋体" w:hAnsi="宋体" w:eastAsia="方正仿宋_GBK" w:cs="方正仿宋_GBK"/>
                <w:b w:val="0"/>
                <w:bCs w:val="0"/>
                <w:i w:val="0"/>
                <w:iCs w:val="0"/>
                <w:caps w:val="0"/>
                <w:color w:val="000000"/>
                <w:spacing w:val="0"/>
                <w:kern w:val="0"/>
                <w:sz w:val="21"/>
                <w:szCs w:val="21"/>
                <w:u w:val="none"/>
                <w:shd w:val="clear" w:color="auto" w:fill="auto"/>
                <w:lang w:bidi="ar"/>
              </w:rPr>
              <w:t>云南省人民政府办公厅印发</w:t>
            </w:r>
            <w:r>
              <w:rPr>
                <w:rFonts w:hint="eastAsia" w:ascii="宋体" w:hAnsi="宋体" w:eastAsia="方正仿宋_GBK" w:cs="方正仿宋_GBK"/>
                <w:b w:val="0"/>
                <w:bCs w:val="0"/>
                <w:i w:val="0"/>
                <w:iCs w:val="0"/>
                <w:caps w:val="0"/>
                <w:color w:val="000000"/>
                <w:spacing w:val="0"/>
                <w:kern w:val="0"/>
                <w:sz w:val="21"/>
                <w:szCs w:val="21"/>
                <w:u w:val="none"/>
                <w:shd w:val="clear" w:color="auto" w:fill="auto"/>
                <w:lang w:val="en-US" w:eastAsia="zh-CN" w:bidi="ar"/>
              </w:rPr>
              <w:t>〈</w:t>
            </w:r>
            <w:r>
              <w:rPr>
                <w:rFonts w:hint="eastAsia" w:ascii="宋体" w:hAnsi="宋体" w:eastAsia="方正仿宋_GBK" w:cs="方正仿宋_GBK"/>
                <w:i w:val="0"/>
                <w:color w:val="000000"/>
                <w:kern w:val="0"/>
                <w:sz w:val="21"/>
                <w:szCs w:val="21"/>
                <w:u w:val="none"/>
                <w:lang w:val="en-US" w:eastAsia="zh-CN" w:bidi="ar"/>
              </w:rPr>
              <w:t>关于加强节约集约用地促进高质量发展的若干措施</w:t>
            </w:r>
            <w:r>
              <w:rPr>
                <w:rFonts w:hint="eastAsia" w:ascii="宋体" w:hAnsi="宋体" w:eastAsia="方正仿宋_GBK" w:cs="方正仿宋_GBK"/>
                <w:b w:val="0"/>
                <w:bCs w:val="0"/>
                <w:i w:val="0"/>
                <w:iCs w:val="0"/>
                <w:caps w:val="0"/>
                <w:color w:val="000000"/>
                <w:spacing w:val="0"/>
                <w:kern w:val="0"/>
                <w:sz w:val="21"/>
                <w:szCs w:val="21"/>
                <w:u w:val="none"/>
                <w:shd w:val="clear" w:color="auto" w:fill="auto"/>
                <w:lang w:val="en-US" w:eastAsia="zh-CN" w:bidi="ar"/>
              </w:rPr>
              <w:t>〉</w:t>
            </w:r>
            <w:r>
              <w:rPr>
                <w:rFonts w:hint="eastAsia" w:ascii="宋体" w:hAnsi="宋体" w:eastAsia="方正仿宋_GBK" w:cs="方正仿宋_GBK"/>
                <w:i w:val="0"/>
                <w:color w:val="000000"/>
                <w:kern w:val="0"/>
                <w:sz w:val="21"/>
                <w:szCs w:val="21"/>
                <w:u w:val="none"/>
                <w:lang w:val="en-US" w:eastAsia="zh-CN" w:bidi="ar"/>
              </w:rPr>
              <w:t>的通知》（云政办发〔2025〕34号）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2505BF2D">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70891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6"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3CE6EA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49</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B844CB">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restart"/>
            <w:tcBorders>
              <w:top w:val="single" w:color="000000" w:sz="4" w:space="0"/>
              <w:left w:val="single" w:color="000000" w:sz="4" w:space="0"/>
              <w:bottom w:val="single" w:color="000000" w:sz="4" w:space="0"/>
              <w:right w:val="single" w:color="000000" w:sz="4" w:space="0"/>
            </w:tcBorders>
            <w:noWrap w:val="0"/>
            <w:vAlign w:val="center"/>
          </w:tcPr>
          <w:p w14:paraId="024C66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（十五）用地混合供给</w:t>
            </w:r>
          </w:p>
        </w:tc>
        <w:tc>
          <w:tcPr>
            <w:tcW w:w="7488" w:type="dxa"/>
            <w:vMerge w:val="restart"/>
            <w:tcBorders>
              <w:top w:val="single" w:color="000000" w:sz="4" w:space="0"/>
              <w:left w:val="single" w:color="000000" w:sz="4" w:space="0"/>
              <w:bottom w:val="single" w:color="000000" w:sz="4" w:space="0"/>
              <w:right w:val="single" w:color="000000" w:sz="4" w:space="0"/>
            </w:tcBorders>
            <w:noWrap w:val="0"/>
            <w:vAlign w:val="center"/>
          </w:tcPr>
          <w:p w14:paraId="1806399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 xml:space="preserve">    在权属清晰无争议、过程公开透明、充分竞争参与、产业导向优先的前提下，探索不同用途地块混合供应。混合利用土地的用途可按主用途确定，主用途可依据建筑面积占比确定，也可依据功能的重要性确定。土地主用途与原用途一致的，按土地原用途管理;土地主用途与原用途不一致的，依法办理土地用途变更。混合利用土地的使用年限可根据土地用途不同，分别设定出让年期，但不得超过对应用途最高出让年期。混合利用土地的出让底价按不同用途土地分项评估后确定。</w:t>
            </w: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38F25E8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《自然资源部关于开展低效用地再开发试点工作的通知》（自然资发〔2023〕171号）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26242E5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p>
        </w:tc>
      </w:tr>
      <w:tr w14:paraId="0D681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4CEA8A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50</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1C00D8">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FC38FE">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4365DC">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1DB57C6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《支持城市更新的规划与土地政策指引（2023版）》（自然资办发〔2023〕47号）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0972728B">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strike/>
                <w:color w:val="000000"/>
                <w:sz w:val="21"/>
                <w:szCs w:val="21"/>
              </w:rPr>
            </w:pPr>
          </w:p>
        </w:tc>
      </w:tr>
      <w:tr w14:paraId="1C514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7D09D3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51</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996CC2">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restart"/>
            <w:tcBorders>
              <w:top w:val="single" w:color="000000" w:sz="4" w:space="0"/>
              <w:left w:val="single" w:color="000000" w:sz="4" w:space="0"/>
              <w:bottom w:val="single" w:color="000000" w:sz="4" w:space="0"/>
              <w:right w:val="single" w:color="000000" w:sz="4" w:space="0"/>
            </w:tcBorders>
            <w:noWrap w:val="0"/>
            <w:vAlign w:val="center"/>
          </w:tcPr>
          <w:p w14:paraId="49913B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（十六）用途转换</w:t>
            </w:r>
          </w:p>
        </w:tc>
        <w:tc>
          <w:tcPr>
            <w:tcW w:w="7488" w:type="dxa"/>
            <w:vMerge w:val="restart"/>
            <w:tcBorders>
              <w:top w:val="single" w:color="000000" w:sz="4" w:space="0"/>
              <w:left w:val="single" w:color="000000" w:sz="4" w:space="0"/>
              <w:bottom w:val="single" w:color="000000" w:sz="4" w:space="0"/>
              <w:right w:val="single" w:color="000000" w:sz="4" w:space="0"/>
            </w:tcBorders>
            <w:noWrap w:val="0"/>
            <w:vAlign w:val="center"/>
          </w:tcPr>
          <w:p w14:paraId="61218C7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 xml:space="preserve">    在符合规划、确保安全的前提下，加强老旧厂房、低效楼宇、传统商业设施等存量房屋改造利用，推动建筑功能转换和混合利用，根据建筑主导功能依法依规合理转换土地用途。</w:t>
            </w:r>
            <w:r>
              <w:rPr>
                <w:rFonts w:hint="eastAsia" w:ascii="宋体" w:hAnsi="宋体" w:eastAsia="方正仿宋_GBK" w:cs="方正仿宋_GBK"/>
                <w:i w:val="0"/>
                <w:color w:val="000000"/>
                <w:kern w:val="0"/>
                <w:sz w:val="21"/>
                <w:szCs w:val="21"/>
                <w:u w:val="none"/>
                <w:lang w:val="en-US" w:eastAsia="zh-CN" w:bidi="ar"/>
              </w:rPr>
              <w:br w:type="textWrapping"/>
            </w:r>
            <w:r>
              <w:rPr>
                <w:rFonts w:hint="eastAsia" w:ascii="宋体" w:hAnsi="宋体" w:eastAsia="方正仿宋_GBK" w:cs="方正仿宋_GBK"/>
                <w:i w:val="0"/>
                <w:color w:val="000000"/>
                <w:kern w:val="0"/>
                <w:sz w:val="21"/>
                <w:szCs w:val="21"/>
                <w:u w:val="none"/>
                <w:lang w:val="en-US" w:eastAsia="zh-CN" w:bidi="ar"/>
              </w:rPr>
              <w:t xml:space="preserve">   </w:t>
            </w: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7B169A4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《中共中央关于进一步全面深化改革推进中国式现代化的决定》</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2D6B6446">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strike/>
                <w:color w:val="000000"/>
                <w:sz w:val="21"/>
                <w:szCs w:val="21"/>
              </w:rPr>
            </w:pPr>
          </w:p>
        </w:tc>
      </w:tr>
      <w:tr w14:paraId="73009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3821D6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52</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8E31F5">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3A72DC">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A4A662">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17C2C0C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《中共中央办公厅 国务院办公厅关于持续推进城市更新行动的意见》（2025）</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1E617719">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strike/>
                <w:color w:val="000000"/>
                <w:sz w:val="21"/>
                <w:szCs w:val="21"/>
              </w:rPr>
            </w:pPr>
          </w:p>
        </w:tc>
      </w:tr>
      <w:tr w14:paraId="5563F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5"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3ED81D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53</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84DE83">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1EBA5B">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F2555E">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1F8D758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《关于深入推进城镇低效用地再开发的指导意见（试行）》（国土资发〔2016〕147号 ）</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4F76E13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2026年11月14日印发，有效期5年。自然资发〔2023〕89号明确国土资发〔2016〕147号可继续使用，自然资发〔2026〕38号明确自然资发〔2023〕89号可继续使用。</w:t>
            </w:r>
          </w:p>
        </w:tc>
      </w:tr>
      <w:tr w14:paraId="520AA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1711BF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54</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CF636B">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13F2C2">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C6CF8D">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62C12FC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《自然资源部关于开展低效用地再开发试点工作的通知》（自然资发〔2023〕171号）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323C732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p>
        </w:tc>
      </w:tr>
      <w:tr w14:paraId="4DA1F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6D3BC9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55</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E79E73">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6BBBA6">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87152F">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2B24C60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《自然资源部 住房城乡建设部关于进一步支持城市更新行动若干措施的通知》（自然资发〔2025〕226号）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7B1632B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p>
        </w:tc>
      </w:tr>
      <w:tr w14:paraId="0DB81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1A00CF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56</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05DA0E">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restart"/>
            <w:tcBorders>
              <w:top w:val="single" w:color="000000" w:sz="4" w:space="0"/>
              <w:left w:val="single" w:color="000000" w:sz="4" w:space="0"/>
              <w:bottom w:val="single" w:color="000000" w:sz="4" w:space="0"/>
              <w:right w:val="single" w:color="000000" w:sz="4" w:space="0"/>
            </w:tcBorders>
            <w:noWrap w:val="0"/>
            <w:vAlign w:val="center"/>
          </w:tcPr>
          <w:p w14:paraId="63D27D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（十七）立体空间复合利用</w:t>
            </w:r>
          </w:p>
        </w:tc>
        <w:tc>
          <w:tcPr>
            <w:tcW w:w="7488" w:type="dxa"/>
            <w:vMerge w:val="restart"/>
            <w:tcBorders>
              <w:top w:val="single" w:color="000000" w:sz="4" w:space="0"/>
              <w:left w:val="single" w:color="000000" w:sz="4" w:space="0"/>
              <w:bottom w:val="single" w:color="000000" w:sz="4" w:space="0"/>
              <w:right w:val="single" w:color="000000" w:sz="4" w:space="0"/>
            </w:tcBorders>
            <w:noWrap w:val="0"/>
            <w:vAlign w:val="center"/>
          </w:tcPr>
          <w:p w14:paraId="3B25CD9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 xml:space="preserve">    鼓励存量建设用地优化设计、分层布局，充分利用地上、地下空间。各地视不同情形制定土地复合利用的正负面清单和比例管控要求。允许符合安全标准和综合交通规划要求的城市绿地、广场、公交场站建设地下公共停车设施。允许利用交通枢纽、轨道交通等存量地下空间兼容发展其他服务业态。地下空间准入要求、使用权设立、配置方式、地价支持政策、规划许可管理、不动产登记、已建成地下空间的相关完善手续按照《云南省自然资源厅关于加快推进城市地下空间开发利用的实施意见（试行）》（云自然资权益〔2025〕270号）执行。</w:t>
            </w: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04510E7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《支持城市更新的规划与土地政策指引（2023版）》（自然资办发〔2023〕47号）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37FC921A">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4371F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430BE5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57</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E511F8">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80AAEC">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42014E">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7AC410D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《自然资源要素支撑产业高质量发展指导目录（2024年本）》（自然资发〔2024〕273号）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2B147C4D">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40402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2F9329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58</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792260">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604DBA">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70DCD2">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3B55CCC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《节约集约利用土地规定》（国土资源部令第61号）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4A7759C7">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322A2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7D39B2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59</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D2F10E">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BCB605">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0FB4F5">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0435042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《自然资源部关于探索推进城市地下空间开发利用的指导意见》（自然资发〔2024〕146号）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1DF11C0B">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5BDE3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5"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38DE08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60</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BE2F2B">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7CA24B">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B20C30">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3FC10E6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《云南省自然资源厅关于加快推进城市地下空间开发利用的实施意见（试行）》（云自然资权益〔2025〕270号）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5FDFD707">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5055B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7"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4C50DC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61</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05CE56">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restart"/>
            <w:tcBorders>
              <w:top w:val="single" w:color="000000" w:sz="4" w:space="0"/>
              <w:left w:val="single" w:color="000000" w:sz="4" w:space="0"/>
              <w:bottom w:val="single" w:color="000000" w:sz="4" w:space="0"/>
              <w:right w:val="single" w:color="000000" w:sz="4" w:space="0"/>
            </w:tcBorders>
            <w:noWrap w:val="0"/>
            <w:vAlign w:val="center"/>
          </w:tcPr>
          <w:p w14:paraId="20D76C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（十八）过渡期支持政策</w:t>
            </w:r>
          </w:p>
        </w:tc>
        <w:tc>
          <w:tcPr>
            <w:tcW w:w="7488" w:type="dxa"/>
            <w:vMerge w:val="restart"/>
            <w:tcBorders>
              <w:top w:val="single" w:color="000000" w:sz="4" w:space="0"/>
              <w:left w:val="single" w:color="000000" w:sz="4" w:space="0"/>
              <w:bottom w:val="single" w:color="000000" w:sz="4" w:space="0"/>
              <w:right w:val="single" w:color="000000" w:sz="4" w:space="0"/>
            </w:tcBorders>
            <w:noWrap w:val="0"/>
            <w:vAlign w:val="center"/>
          </w:tcPr>
          <w:p w14:paraId="50C6C54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 xml:space="preserve">    利用存量房产、土地发展国家支持产业、行业的，经批准，可适用过渡期支持政策。用地主体应向州（市）、县（市、区）自然资源主管部门提出备案申请，过渡期原则上不超过五年，自备案之日起算。过渡期内不得对原建（构）筑物进行拆除重建，涉及改造装修的应依法办理消防、建设等相关手续，确保使用安全。过渡期满符合产业发展方向和履约监管要求的，依法依约定按照新用途办理用地手续，除符合划拨用地目录的可保留划拨外，其余可以协议方式办理，但法律、法规、行政规定及划拨决定书、出让合同、租赁合同等规定或约定应当收回土地使用权的除外。不符合的，按照约定退出过渡期支持政策，维持原有土地用途。</w:t>
            </w:r>
            <w:r>
              <w:rPr>
                <w:rFonts w:hint="eastAsia" w:ascii="宋体" w:hAnsi="宋体" w:eastAsia="方正仿宋_GBK" w:cs="方正仿宋_GBK"/>
                <w:i w:val="0"/>
                <w:color w:val="000000"/>
                <w:kern w:val="0"/>
                <w:sz w:val="21"/>
                <w:szCs w:val="21"/>
                <w:u w:val="none"/>
                <w:lang w:val="en-US" w:eastAsia="zh-CN" w:bidi="ar"/>
              </w:rPr>
              <w:br w:type="textWrapping"/>
            </w:r>
            <w:r>
              <w:rPr>
                <w:rFonts w:hint="eastAsia" w:ascii="宋体" w:hAnsi="宋体" w:eastAsia="方正仿宋_GBK" w:cs="方正仿宋_GBK"/>
                <w:i w:val="0"/>
                <w:color w:val="000000"/>
                <w:kern w:val="0"/>
                <w:sz w:val="21"/>
                <w:szCs w:val="21"/>
                <w:u w:val="none"/>
                <w:lang w:val="en-US" w:eastAsia="zh-CN" w:bidi="ar"/>
              </w:rPr>
              <w:t xml:space="preserve">    </w:t>
            </w: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59352A6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《自然资源要素支撑产业高质量发展指导目录（2024年本）》（自然资发〔2024〕273号）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5BEA2993">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4C451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5"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715085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62</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F23178">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265816">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72F36D">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73C0562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《关于深入推进城镇低效用地再开发的指导意见（试行）》（国土资发〔2016〕147号）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317A7B9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2026年11月14日印发，有效期5年。自然资发〔2023〕89号明确国土资发〔2016〕147号可继续使用，自然资发〔2026〕38号明确自然资发〔2023〕89号可继续使用。</w:t>
            </w:r>
          </w:p>
        </w:tc>
      </w:tr>
      <w:tr w14:paraId="3D73C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1D9FA5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63</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D45CA1">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CE4FD3">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20933A">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6EAD64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《自然资源部 住房城乡建设部关于进一步支持城市更新行动若干措施的通知》（自然资发〔2025〕226号）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13285439">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512AD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110A34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64</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748434">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366AA5">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6480D8">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3803A0E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《云南省自然资源厅关于进一步规范国有建设用地过渡期支持政策通知》（云自然资利用〔2026〕71号）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4BE7E095">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1C931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6C7230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65</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22E6BF">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B3C79C">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B0BB54">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2D39100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《云南省自然资源厅关于加强旅居产业用地保障的通知》（云自然资利用〔2025〕73号）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3D61FB16">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2542B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5"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19A9A5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66</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CD04AB">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32E2FC">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07695E">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080C203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《自然资源部关于开展低效用地再开发试点工作的通知》（自然资发〔2023〕171号）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7CDCE95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p>
        </w:tc>
      </w:tr>
      <w:tr w14:paraId="4C96C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9"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387C53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67</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CCD6B3">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restart"/>
            <w:tcBorders>
              <w:top w:val="single" w:color="000000" w:sz="4" w:space="0"/>
              <w:left w:val="single" w:color="000000" w:sz="4" w:space="0"/>
              <w:bottom w:val="single" w:color="000000" w:sz="4" w:space="0"/>
              <w:right w:val="single" w:color="000000" w:sz="4" w:space="0"/>
            </w:tcBorders>
            <w:noWrap w:val="0"/>
            <w:vAlign w:val="center"/>
          </w:tcPr>
          <w:p w14:paraId="16A030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（十九）自然资源资产组合供应</w:t>
            </w:r>
          </w:p>
        </w:tc>
        <w:tc>
          <w:tcPr>
            <w:tcW w:w="7488" w:type="dxa"/>
            <w:vMerge w:val="restart"/>
            <w:tcBorders>
              <w:top w:val="single" w:color="000000" w:sz="4" w:space="0"/>
              <w:left w:val="single" w:color="000000" w:sz="4" w:space="0"/>
              <w:bottom w:val="single" w:color="000000" w:sz="4" w:space="0"/>
              <w:right w:val="single" w:color="000000" w:sz="4" w:space="0"/>
            </w:tcBorders>
            <w:noWrap w:val="0"/>
            <w:vAlign w:val="center"/>
          </w:tcPr>
          <w:p w14:paraId="571553F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 xml:space="preserve">    在符合国土空间规划的前提下，支持各地统筹特定范围内的存量建设用地与矿产、森林、水域、湿地等资源，积极探索“土地+矿产”“土地+水”“国有+集体”等多门类、多权属的组合利用方式，形成资产包实施整体交易。涉及不同供应权限的自然资源，可委托同一主体，在公共资源交易平台实施交易。各门类资源的使用条件、开发要求、标的价值、溢价分配等内容一并纳入供应方案。完成交易后，分别签订供应合同，依法缴纳相关收益，按职责实施监管。</w:t>
            </w: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0C10F5C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《自然资源部关于进一步做好用地用海要素保障的通知》（自然资发〔2023〕89号）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718DCE7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2023年6月13日印发，有效期至2025年12月31日。自然资发〔2026〕38号明确自然资发〔2023〕89号可继续使用。</w:t>
            </w:r>
          </w:p>
        </w:tc>
      </w:tr>
      <w:tr w14:paraId="343C6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9"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3ACD4C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68</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6AFFC1">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2870C3">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C2829B">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40376B0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《自然资源部 住房城乡建设部关于进一步支持城市更新行动若干措施的通知》（自然资发〔2025〕226号）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30CD7030">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145C0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46DBFD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69</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7ABC77">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7F5BFA">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7F9F20">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65E4055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《自然资源部关于开展低效用地再开发试点工作的通知》（自然资发〔2023〕171号）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027B457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p>
        </w:tc>
      </w:tr>
      <w:tr w14:paraId="76D56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4"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6D6B40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70</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A30553">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599314">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AE8D29">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4EEC7D0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《自然资源部办公厅关于印发〈自然资源资产价格整体评估技术指引（试行）〉的通知 》（自然资办发〔2024〕46号）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62C01AC3">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74AB2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579927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71</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AECC40">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572CDD">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D4C7AD">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0CB5E50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《云南省自然资源厅关于加强旅居产业用地保障的通知》（云自然资利用〔2025〕73号）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4DE2D1F9">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49F7D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34EB50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72</w:t>
            </w:r>
          </w:p>
        </w:tc>
        <w:tc>
          <w:tcPr>
            <w:tcW w:w="1294" w:type="dxa"/>
            <w:vMerge w:val="restart"/>
            <w:tcBorders>
              <w:top w:val="single" w:color="000000" w:sz="4" w:space="0"/>
              <w:left w:val="single" w:color="000000" w:sz="4" w:space="0"/>
              <w:bottom w:val="single" w:color="000000" w:sz="4" w:space="0"/>
              <w:right w:val="single" w:color="000000" w:sz="4" w:space="0"/>
            </w:tcBorders>
            <w:noWrap w:val="0"/>
            <w:vAlign w:val="center"/>
          </w:tcPr>
          <w:p w14:paraId="2FB7E8C7">
            <w:pPr>
              <w:keepNext w:val="0"/>
              <w:keepLines w:val="0"/>
              <w:pageBreakBefore w:val="0"/>
              <w:widowControl/>
              <w:suppressLineNumbers w:val="0"/>
              <w:kinsoku/>
              <w:wordWrap/>
              <w:overflowPunct/>
              <w:topLinePunct w:val="0"/>
              <w:autoSpaceDE/>
              <w:autoSpaceDN/>
              <w:bidi w:val="0"/>
              <w:adjustRightInd/>
              <w:snapToGrid/>
              <w:spacing w:line="240" w:lineRule="exact"/>
              <w:ind w:left="-62" w:leftChars="-20" w:right="-62" w:rightChars="-20"/>
              <w:jc w:val="center"/>
              <w:textAlignment w:val="center"/>
              <w:rPr>
                <w:rFonts w:hint="eastAsia" w:ascii="宋体" w:hAnsi="宋体" w:eastAsia="方正仿宋_GBK" w:cs="方正仿宋_GBK"/>
                <w:b/>
                <w:i w:val="0"/>
                <w:color w:val="000000"/>
                <w:sz w:val="21"/>
                <w:szCs w:val="21"/>
                <w:u w:val="none"/>
              </w:rPr>
            </w:pPr>
            <w:r>
              <w:rPr>
                <w:rFonts w:hint="eastAsia" w:ascii="宋体" w:hAnsi="宋体" w:eastAsia="方正仿宋_GBK" w:cs="方正仿宋_GBK"/>
                <w:b/>
                <w:i w:val="0"/>
                <w:color w:val="000000"/>
                <w:kern w:val="0"/>
                <w:sz w:val="21"/>
                <w:szCs w:val="21"/>
                <w:u w:val="none"/>
                <w:lang w:val="en-US" w:eastAsia="zh-CN" w:bidi="ar"/>
              </w:rPr>
              <w:t>四、加强资金支持</w:t>
            </w:r>
          </w:p>
        </w:tc>
        <w:tc>
          <w:tcPr>
            <w:tcW w:w="1235" w:type="dxa"/>
            <w:vMerge w:val="restart"/>
            <w:tcBorders>
              <w:top w:val="single" w:color="000000" w:sz="4" w:space="0"/>
              <w:left w:val="single" w:color="000000" w:sz="4" w:space="0"/>
              <w:bottom w:val="single" w:color="000000" w:sz="4" w:space="0"/>
              <w:right w:val="single" w:color="000000" w:sz="4" w:space="0"/>
            </w:tcBorders>
            <w:noWrap w:val="0"/>
            <w:vAlign w:val="center"/>
          </w:tcPr>
          <w:p w14:paraId="157F85FC">
            <w:pPr>
              <w:keepNext w:val="0"/>
              <w:keepLines w:val="0"/>
              <w:pageBreakBefore w:val="0"/>
              <w:widowControl/>
              <w:suppressLineNumbers w:val="0"/>
              <w:kinsoku/>
              <w:wordWrap/>
              <w:overflowPunct/>
              <w:topLinePunct w:val="0"/>
              <w:autoSpaceDE/>
              <w:autoSpaceDN/>
              <w:bidi w:val="0"/>
              <w:adjustRightInd/>
              <w:snapToGrid/>
              <w:spacing w:line="240" w:lineRule="exact"/>
              <w:ind w:left="-62" w:leftChars="-20" w:right="-62" w:rightChars="-20"/>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（二十）降低用地成本</w:t>
            </w:r>
          </w:p>
        </w:tc>
        <w:tc>
          <w:tcPr>
            <w:tcW w:w="7488" w:type="dxa"/>
            <w:vMerge w:val="restart"/>
            <w:tcBorders>
              <w:top w:val="single" w:color="000000" w:sz="4" w:space="0"/>
              <w:left w:val="single" w:color="000000" w:sz="4" w:space="0"/>
              <w:bottom w:val="single" w:color="000000" w:sz="4" w:space="0"/>
              <w:right w:val="single" w:color="000000" w:sz="4" w:space="0"/>
            </w:tcBorders>
            <w:noWrap w:val="0"/>
            <w:vAlign w:val="center"/>
          </w:tcPr>
          <w:p w14:paraId="76CA5712">
            <w:pPr>
              <w:keepNext w:val="0"/>
              <w:keepLines w:val="0"/>
              <w:pageBreakBefore w:val="0"/>
              <w:widowControl/>
              <w:suppressLineNumbers w:val="0"/>
              <w:kinsoku/>
              <w:wordWrap/>
              <w:overflowPunct/>
              <w:topLinePunct w:val="0"/>
              <w:autoSpaceDE/>
              <w:autoSpaceDN/>
              <w:bidi w:val="0"/>
              <w:adjustRightInd/>
              <w:snapToGrid/>
              <w:spacing w:afterAutospacing="0" w:line="240" w:lineRule="exact"/>
              <w:ind w:left="-62" w:leftChars="-20" w:right="-62" w:rightChars="-20"/>
              <w:jc w:val="both"/>
              <w:textAlignment w:val="center"/>
              <w:rPr>
                <w:rFonts w:hint="default" w:ascii="宋体" w:hAnsi="宋体" w:eastAsia="方正仿宋_GBK" w:cs="方正仿宋_GBK"/>
                <w:i w:val="0"/>
                <w:color w:val="000000"/>
                <w:sz w:val="21"/>
                <w:szCs w:val="21"/>
                <w:u w:val="none"/>
                <w:lang w:val="en-US"/>
              </w:rPr>
            </w:pPr>
            <w:r>
              <w:rPr>
                <w:rFonts w:hint="eastAsia" w:ascii="宋体" w:hAnsi="宋体" w:eastAsia="方正仿宋_GBK" w:cs="方正仿宋_GBK"/>
                <w:i w:val="0"/>
                <w:color w:val="000000"/>
                <w:kern w:val="0"/>
                <w:sz w:val="21"/>
                <w:szCs w:val="21"/>
                <w:u w:val="none"/>
                <w:lang w:val="en-US" w:eastAsia="zh-CN" w:bidi="ar"/>
              </w:rPr>
              <w:t xml:space="preserve">    1.免收土地价款情形。在符合国土空间规划、不改变土地用途的前提下，现有工业用地通过“零增地”技改，即厂房加层、厂区改造等途径提高土地利用率和增加容积率的，不再增收土地价款。除地方另有规定外，地下三层及以下可减免土地出让价款（租金）。已设立地表国有建设用地使用权的地下空间通过划拨方式供应并自行开发的，不再收取土地价款。对于利用公共管理与公共服务用地、公园与绿地的地下空间，建设面向社会提供公共服务的非营利性地下停车设施的，可不收取土地价款，但地下车位不得分割销售或以租代售。</w:t>
            </w:r>
            <w:r>
              <w:rPr>
                <w:rFonts w:hint="eastAsia" w:ascii="宋体" w:hAnsi="宋体" w:eastAsia="方正仿宋_GBK" w:cs="方正仿宋_GBK"/>
                <w:i w:val="0"/>
                <w:color w:val="000000"/>
                <w:kern w:val="0"/>
                <w:sz w:val="21"/>
                <w:szCs w:val="21"/>
                <w:u w:val="none"/>
                <w:lang w:val="en-US" w:eastAsia="zh-CN" w:bidi="ar"/>
              </w:rPr>
              <w:br w:type="textWrapping"/>
            </w:r>
            <w:r>
              <w:rPr>
                <w:rFonts w:hint="eastAsia" w:ascii="宋体" w:hAnsi="宋体" w:eastAsia="方正仿宋_GBK" w:cs="方正仿宋_GBK"/>
                <w:i w:val="0"/>
                <w:color w:val="000000"/>
                <w:kern w:val="0"/>
                <w:sz w:val="21"/>
                <w:szCs w:val="21"/>
                <w:u w:val="none"/>
                <w:lang w:val="en-US" w:eastAsia="zh-CN" w:bidi="ar"/>
              </w:rPr>
              <w:t xml:space="preserve">    2.实施差别化的地价支持政策。地下空间国有建设用地使用权以出让或者租赁方式取得的，其土地价款（租金）分层计算。各地可根据当地基准地价和不动产交易实际，评估后确定地下空间国有建设用地使用权价格，并充分考虑成本差异，实行地价向下递减的优惠政策。对于一次性缴纳土地出让金有困难的企业，经批准可最长于2年内分期缴纳。</w:t>
            </w:r>
            <w:r>
              <w:rPr>
                <w:rFonts w:hint="eastAsia" w:ascii="宋体" w:hAnsi="宋体" w:eastAsia="方正仿宋_GBK" w:cs="方正仿宋_GBK"/>
                <w:i w:val="0"/>
                <w:color w:val="000000"/>
                <w:kern w:val="0"/>
                <w:sz w:val="21"/>
                <w:szCs w:val="21"/>
                <w:u w:val="none"/>
                <w:lang w:val="en-US" w:eastAsia="zh-CN" w:bidi="ar"/>
              </w:rPr>
              <w:br w:type="textWrapping"/>
            </w:r>
            <w:r>
              <w:rPr>
                <w:rFonts w:hint="eastAsia" w:ascii="宋体" w:hAnsi="宋体" w:eastAsia="方正仿宋_GBK" w:cs="方正仿宋_GBK"/>
                <w:i w:val="0"/>
                <w:color w:val="000000"/>
                <w:kern w:val="0"/>
                <w:sz w:val="21"/>
                <w:szCs w:val="21"/>
                <w:u w:val="none"/>
                <w:lang w:val="en-US" w:eastAsia="zh-CN" w:bidi="ar"/>
              </w:rPr>
              <w:t xml:space="preserve">    3.完善低效用地再开发地价计收补缴标准。用途转换需要补缴土地出让金的，可以公示地价（或市场评估价）的一定比例核定补缴地价款。各地分不同区域、不同用地类别，综合考虑土地整理投入、移交公益性用地或建筑面积、配建基础设施和公共服务设施以及多地块联动改造成本等因素，制定比例标准。</w:t>
            </w:r>
            <w:r>
              <w:rPr>
                <w:rFonts w:hint="eastAsia" w:ascii="宋体" w:hAnsi="宋体" w:eastAsia="方正仿宋_GBK" w:cs="方正仿宋_GBK"/>
                <w:i w:val="0"/>
                <w:color w:val="000000"/>
                <w:kern w:val="0"/>
                <w:sz w:val="21"/>
                <w:szCs w:val="21"/>
                <w:u w:val="none"/>
                <w:lang w:val="en-US" w:eastAsia="zh-CN" w:bidi="ar"/>
              </w:rPr>
              <w:br w:type="textWrapping"/>
            </w:r>
            <w:r>
              <w:rPr>
                <w:rFonts w:hint="eastAsia" w:ascii="宋体" w:hAnsi="宋体" w:eastAsia="方正仿宋_GBK" w:cs="方正仿宋_GBK"/>
                <w:i w:val="0"/>
                <w:color w:val="000000"/>
                <w:kern w:val="0"/>
                <w:sz w:val="21"/>
                <w:szCs w:val="21"/>
                <w:u w:val="none"/>
                <w:lang w:val="en-US" w:eastAsia="zh-CN" w:bidi="ar"/>
              </w:rPr>
              <w:t xml:space="preserve">    4.对采取长期租赁、先租后让、弹性年期出让的，实行地价鼓励支持政策。</w:t>
            </w: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0E05FD9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《支持城市更新的规划与土地政策指引（2023版）》（自然资办发〔2023〕47号）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07271ADD">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6F52B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19C8FB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73</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3332C7">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2CA761">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363821">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0EEDFB3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《节约集约利用土地规定》（国土资源部令第61号）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793FAC9B">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68543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6CBB4D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74</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7AB5B4">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6D358A">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3305D9">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6D6A798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《自然资源部关于探索推进城市地下空间开发利用的指导意见》（自然资发〔2024〕146号）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5A2DC23A">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15413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38B99D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75</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329E75">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7642A9">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CDEA42">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06212A4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《自然资源要素支撑产业高质量发展指导目录（2024年本）》（自然资发〔2024〕273号）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5FEED158">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513CF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08555E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76</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1B242D">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34C788">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3E3432">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1685E12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《自然资源部关于进一步做好用地用海要素保障的通知》（自然资发〔2023〕89号）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5AB17F4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2023年6月13日印发，有效期至2025年12月31日。自然资发〔2026〕38号明确自然资发〔2023〕89号可继续使用。</w:t>
            </w:r>
          </w:p>
        </w:tc>
      </w:tr>
      <w:tr w14:paraId="19CE5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7D88B2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77</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1A087E">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A027F5">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DC819B">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6233C68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《国务院办公厅关于完善建设用地使用权转让、出租、抵押二级市场的指导意见》（国办发〔2019〕34号）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0BE083D7">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0FBF3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7B08A3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78</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6DBE29">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0B416F">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DC0D6B">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7E19A5F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《自然资源部关于完善工业用地供应政策支持实体经济发展的通知》（自然资发〔2022〕201号）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45150681">
            <w:pPr>
              <w:keepNext w:val="0"/>
              <w:keepLines w:val="0"/>
              <w:pageBreakBefore w:val="0"/>
              <w:widowControl/>
              <w:kinsoku/>
              <w:wordWrap/>
              <w:overflowPunct/>
              <w:topLinePunct w:val="0"/>
              <w:autoSpaceDE/>
              <w:autoSpaceDN/>
              <w:bidi w:val="0"/>
              <w:adjustRightInd/>
              <w:snapToGrid/>
              <w:spacing w:after="0"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color w:val="000000"/>
                <w:spacing w:val="0"/>
                <w:kern w:val="0"/>
                <w:sz w:val="21"/>
                <w:szCs w:val="21"/>
                <w:lang w:bidi="ar"/>
              </w:rPr>
              <w:t>2022年11月1</w:t>
            </w:r>
            <w:r>
              <w:rPr>
                <w:rFonts w:hint="eastAsia" w:ascii="宋体" w:hAnsi="宋体" w:eastAsia="方正仿宋_GBK" w:cs="方正仿宋_GBK"/>
                <w:color w:val="000000"/>
                <w:spacing w:val="0"/>
                <w:kern w:val="0"/>
                <w:sz w:val="21"/>
                <w:szCs w:val="21"/>
                <w:lang w:val="en-US" w:eastAsia="zh-CN" w:bidi="ar"/>
              </w:rPr>
              <w:t>8</w:t>
            </w:r>
            <w:r>
              <w:rPr>
                <w:rFonts w:hint="eastAsia" w:ascii="宋体" w:hAnsi="宋体" w:eastAsia="方正仿宋_GBK" w:cs="方正仿宋_GBK"/>
                <w:color w:val="000000"/>
                <w:spacing w:val="0"/>
                <w:kern w:val="0"/>
                <w:sz w:val="21"/>
                <w:szCs w:val="21"/>
                <w:lang w:bidi="ar"/>
              </w:rPr>
              <w:t>日</w:t>
            </w:r>
            <w:r>
              <w:rPr>
                <w:rFonts w:hint="eastAsia" w:ascii="宋体" w:hAnsi="宋体" w:eastAsia="方正仿宋_GBK" w:cs="方正仿宋_GBK"/>
                <w:color w:val="000000"/>
                <w:spacing w:val="0"/>
                <w:kern w:val="0"/>
                <w:sz w:val="21"/>
                <w:szCs w:val="21"/>
                <w:lang w:val="en-US" w:eastAsia="zh-CN" w:bidi="ar"/>
              </w:rPr>
              <w:t>印发，有效期5年。</w:t>
            </w:r>
          </w:p>
        </w:tc>
      </w:tr>
      <w:tr w14:paraId="366DB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1C1B43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79</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BE977E">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97D40C">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C49A97">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2FD35CD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《自然资源部关于开展低效用地再开发试点工作的通知》（自然资发〔2023〕171号）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0C2AB07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p>
        </w:tc>
      </w:tr>
      <w:tr w14:paraId="6DA48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503D2A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80</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B420C4">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234630">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3F1A1C">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29E59AE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w:t>
            </w:r>
            <w:r>
              <w:rPr>
                <w:rFonts w:hint="eastAsia" w:ascii="宋体" w:hAnsi="宋体" w:eastAsia="方正仿宋_GBK" w:cs="方正仿宋_GBK"/>
                <w:b w:val="0"/>
                <w:bCs w:val="0"/>
                <w:i w:val="0"/>
                <w:iCs w:val="0"/>
                <w:caps w:val="0"/>
                <w:color w:val="000000"/>
                <w:spacing w:val="0"/>
                <w:kern w:val="0"/>
                <w:sz w:val="21"/>
                <w:szCs w:val="21"/>
                <w:u w:val="none"/>
                <w:shd w:val="clear" w:color="auto" w:fill="auto"/>
                <w:lang w:bidi="ar"/>
              </w:rPr>
              <w:t>云南省人民政府办公厅印发</w:t>
            </w:r>
            <w:r>
              <w:rPr>
                <w:rFonts w:hint="eastAsia" w:ascii="宋体" w:hAnsi="宋体" w:eastAsia="方正仿宋_GBK" w:cs="方正仿宋_GBK"/>
                <w:b w:val="0"/>
                <w:bCs w:val="0"/>
                <w:i w:val="0"/>
                <w:iCs w:val="0"/>
                <w:caps w:val="0"/>
                <w:color w:val="000000"/>
                <w:spacing w:val="0"/>
                <w:kern w:val="0"/>
                <w:sz w:val="21"/>
                <w:szCs w:val="21"/>
                <w:u w:val="none"/>
                <w:shd w:val="clear" w:color="auto" w:fill="auto"/>
                <w:lang w:val="en-US" w:eastAsia="zh-CN" w:bidi="ar"/>
              </w:rPr>
              <w:t>〈</w:t>
            </w:r>
            <w:r>
              <w:rPr>
                <w:rFonts w:hint="eastAsia" w:ascii="宋体" w:hAnsi="宋体" w:eastAsia="方正仿宋_GBK" w:cs="方正仿宋_GBK"/>
                <w:i w:val="0"/>
                <w:color w:val="000000"/>
                <w:kern w:val="0"/>
                <w:sz w:val="21"/>
                <w:szCs w:val="21"/>
                <w:u w:val="none"/>
                <w:lang w:val="en-US" w:eastAsia="zh-CN" w:bidi="ar"/>
              </w:rPr>
              <w:t>关于加强节约集约用地促进高质量发展的若干措施</w:t>
            </w:r>
            <w:r>
              <w:rPr>
                <w:rFonts w:hint="eastAsia" w:ascii="宋体" w:hAnsi="宋体" w:eastAsia="方正仿宋_GBK" w:cs="方正仿宋_GBK"/>
                <w:b w:val="0"/>
                <w:bCs w:val="0"/>
                <w:i w:val="0"/>
                <w:iCs w:val="0"/>
                <w:caps w:val="0"/>
                <w:color w:val="000000"/>
                <w:spacing w:val="0"/>
                <w:kern w:val="0"/>
                <w:sz w:val="21"/>
                <w:szCs w:val="21"/>
                <w:u w:val="none"/>
                <w:shd w:val="clear" w:color="auto" w:fill="auto"/>
                <w:lang w:val="en-US" w:eastAsia="zh-CN" w:bidi="ar"/>
              </w:rPr>
              <w:t>〉</w:t>
            </w:r>
            <w:r>
              <w:rPr>
                <w:rFonts w:hint="eastAsia" w:ascii="宋体" w:hAnsi="宋体" w:eastAsia="方正仿宋_GBK" w:cs="方正仿宋_GBK"/>
                <w:i w:val="0"/>
                <w:color w:val="000000"/>
                <w:kern w:val="0"/>
                <w:sz w:val="21"/>
                <w:szCs w:val="21"/>
                <w:u w:val="none"/>
                <w:lang w:val="en-US" w:eastAsia="zh-CN" w:bidi="ar"/>
              </w:rPr>
              <w:t>的通知》（云政办发〔2025〕34号）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1A3D0645">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3BC12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445329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81</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C45D1F">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61BD91">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1B177F">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7571E76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《云南省降低实体经济企业成本实施细则》（云政发〔2017〕50号）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419C5711">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4D500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5014A3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82</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F43152">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34884F">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946ABD">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433D924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《云南省自然资源厅关于加快推进城市地下空间开发利用的实施意见（试行）》（云自然资权益〔2025〕270号）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09A8AF10">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70986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53349B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83</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45DF52">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0938B8">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AE9D76">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16A12D1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《云南省自然资源厅关于加强土地要素保障支持民营经济高质量发展的实施意见》（云自然资〔2024〕2号）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56789540">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07DA6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0D7AF1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84</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3B3C54">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b/>
                <w:i w:val="0"/>
                <w:color w:val="000000"/>
                <w:sz w:val="21"/>
                <w:szCs w:val="21"/>
                <w:u w:val="none"/>
              </w:rPr>
            </w:pPr>
          </w:p>
        </w:tc>
        <w:tc>
          <w:tcPr>
            <w:tcW w:w="1235" w:type="dxa"/>
            <w:vMerge w:val="restart"/>
            <w:tcBorders>
              <w:top w:val="single" w:color="000000" w:sz="4" w:space="0"/>
              <w:left w:val="single" w:color="000000" w:sz="4" w:space="0"/>
              <w:bottom w:val="single" w:color="000000" w:sz="4" w:space="0"/>
              <w:right w:val="single" w:color="000000" w:sz="4" w:space="0"/>
            </w:tcBorders>
            <w:noWrap w:val="0"/>
            <w:vAlign w:val="center"/>
          </w:tcPr>
          <w:p w14:paraId="18224FE3">
            <w:pPr>
              <w:keepNext w:val="0"/>
              <w:keepLines w:val="0"/>
              <w:pageBreakBefore w:val="0"/>
              <w:widowControl/>
              <w:suppressLineNumbers w:val="0"/>
              <w:kinsoku/>
              <w:wordWrap/>
              <w:overflowPunct/>
              <w:topLinePunct w:val="0"/>
              <w:autoSpaceDE/>
              <w:autoSpaceDN/>
              <w:bidi w:val="0"/>
              <w:adjustRightInd/>
              <w:snapToGrid/>
              <w:spacing w:line="240" w:lineRule="exact"/>
              <w:ind w:left="-62" w:leftChars="-20" w:right="-62" w:rightChars="-20"/>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（二十一）运用专项债券收回收购</w:t>
            </w:r>
          </w:p>
        </w:tc>
        <w:tc>
          <w:tcPr>
            <w:tcW w:w="7488" w:type="dxa"/>
            <w:vMerge w:val="restart"/>
            <w:tcBorders>
              <w:top w:val="single" w:color="000000" w:sz="4" w:space="0"/>
              <w:left w:val="single" w:color="000000" w:sz="4" w:space="0"/>
              <w:bottom w:val="single" w:color="000000" w:sz="4" w:space="0"/>
              <w:right w:val="single" w:color="000000" w:sz="4" w:space="0"/>
            </w:tcBorders>
            <w:noWrap w:val="0"/>
            <w:vAlign w:val="center"/>
          </w:tcPr>
          <w:p w14:paraId="63209B0B">
            <w:pPr>
              <w:keepNext w:val="0"/>
              <w:keepLines w:val="0"/>
              <w:pageBreakBefore w:val="0"/>
              <w:widowControl/>
              <w:suppressLineNumbers w:val="0"/>
              <w:kinsoku/>
              <w:wordWrap/>
              <w:overflowPunct/>
              <w:topLinePunct w:val="0"/>
              <w:autoSpaceDE/>
              <w:autoSpaceDN/>
              <w:bidi w:val="0"/>
              <w:adjustRightInd/>
              <w:snapToGrid/>
              <w:spacing w:line="240" w:lineRule="exact"/>
              <w:ind w:left="-62" w:leftChars="-20" w:right="-62" w:rightChars="-20"/>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 xml:space="preserve">    运用专项债券资金收回收购存量闲置土地是减少市场存量土地规模、改善土地供求关系的关键举措。收购范围优先锁定企业无力或无意愿继续开发的已供应未动工住宅和商服用地。其他用途土地进入司法或破产程序，或因低效用地再开发、基础设施建设等公共利益需收回的，以及已动工地块中可分割暂未建设部分，也可纳入范围。各地可将符合条件地块打包申报，逐级审核可行性、合规性及成熟度，确保项目融资收益平衡。</w:t>
            </w: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0F4EC60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《自然资源部关于运用地方政府专项债券资金收回收购存量闲置土地的通知》（自然资发〔2024〕242号）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3BDEFBD8">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3AD54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3948E7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85</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502BFF">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25EC3B">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846140">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63E9283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《自然资源部 财政部关于做好运用地方政府专项债券支持土地储备有关工作的通知》（自然资发〔2025〕45号）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20FEAE34">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038E9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6"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6BA645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86</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919723">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7ED560">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81E78B">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00E3653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《云南省自然资源厅 云南省财政厅关于转发〈自然资源部 财政部关于做好运用地方政府专项债券支持土地储备有关工作的通知〉的通知》（云自然资权益〔2025〕75号）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1CA2C443">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2C545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9"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572A422B">
            <w:pPr>
              <w:keepNext w:val="0"/>
              <w:keepLines w:val="0"/>
              <w:pageBreakBefore w:val="0"/>
              <w:widowControl/>
              <w:suppressLineNumbers w:val="0"/>
              <w:kinsoku/>
              <w:wordWrap/>
              <w:overflowPunct/>
              <w:topLinePunct w:val="0"/>
              <w:autoSpaceDE/>
              <w:autoSpaceDN/>
              <w:bidi w:val="0"/>
              <w:adjustRightInd/>
              <w:snapToGrid/>
              <w:spacing w:line="240" w:lineRule="exact"/>
              <w:ind w:left="-62" w:leftChars="-20" w:right="-62" w:rightChars="-20"/>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87</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7AAB83">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b/>
                <w:i w:val="0"/>
                <w:color w:val="000000"/>
                <w:sz w:val="21"/>
                <w:szCs w:val="21"/>
                <w:u w:val="none"/>
              </w:rPr>
            </w:pPr>
          </w:p>
        </w:tc>
        <w:tc>
          <w:tcPr>
            <w:tcW w:w="1235" w:type="dxa"/>
            <w:vMerge w:val="restart"/>
            <w:tcBorders>
              <w:top w:val="single" w:color="000000" w:sz="4" w:space="0"/>
              <w:left w:val="single" w:color="000000" w:sz="4" w:space="0"/>
              <w:bottom w:val="single" w:color="000000" w:sz="4" w:space="0"/>
              <w:right w:val="single" w:color="000000" w:sz="4" w:space="0"/>
            </w:tcBorders>
            <w:noWrap w:val="0"/>
            <w:vAlign w:val="center"/>
          </w:tcPr>
          <w:p w14:paraId="083D13FF">
            <w:pPr>
              <w:keepNext w:val="0"/>
              <w:keepLines w:val="0"/>
              <w:pageBreakBefore w:val="0"/>
              <w:widowControl/>
              <w:suppressLineNumbers w:val="0"/>
              <w:kinsoku/>
              <w:wordWrap/>
              <w:overflowPunct/>
              <w:topLinePunct w:val="0"/>
              <w:autoSpaceDE/>
              <w:autoSpaceDN/>
              <w:bidi w:val="0"/>
              <w:adjustRightInd/>
              <w:snapToGrid/>
              <w:spacing w:line="240" w:lineRule="exact"/>
              <w:ind w:left="-62" w:leftChars="-20" w:right="-62" w:rightChars="-20"/>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（二十二）强化存量建设用地盘活资金支持</w:t>
            </w:r>
          </w:p>
        </w:tc>
        <w:tc>
          <w:tcPr>
            <w:tcW w:w="7488" w:type="dxa"/>
            <w:vMerge w:val="restart"/>
            <w:tcBorders>
              <w:top w:val="single" w:color="000000" w:sz="4" w:space="0"/>
              <w:left w:val="single" w:color="000000" w:sz="4" w:space="0"/>
              <w:bottom w:val="single" w:color="000000" w:sz="4" w:space="0"/>
              <w:right w:val="single" w:color="000000" w:sz="4" w:space="0"/>
            </w:tcBorders>
            <w:noWrap w:val="0"/>
            <w:vAlign w:val="center"/>
          </w:tcPr>
          <w:p w14:paraId="115F8195">
            <w:pPr>
              <w:keepNext w:val="0"/>
              <w:keepLines w:val="0"/>
              <w:pageBreakBefore w:val="0"/>
              <w:widowControl/>
              <w:suppressLineNumbers w:val="0"/>
              <w:kinsoku/>
              <w:wordWrap/>
              <w:overflowPunct/>
              <w:topLinePunct w:val="0"/>
              <w:autoSpaceDE/>
              <w:autoSpaceDN/>
              <w:bidi w:val="0"/>
              <w:adjustRightInd/>
              <w:snapToGrid/>
              <w:spacing w:line="240" w:lineRule="exact"/>
              <w:ind w:left="-62" w:leftChars="-20" w:right="-62" w:rightChars="-20"/>
              <w:jc w:val="both"/>
              <w:textAlignment w:val="center"/>
              <w:rPr>
                <w:rFonts w:hint="eastAsia" w:ascii="宋体" w:hAnsi="宋体" w:eastAsia="方正仿宋_GBK" w:cs="方正仿宋_GBK"/>
                <w:i w:val="0"/>
                <w:color w:val="auto"/>
                <w:kern w:val="0"/>
                <w:sz w:val="21"/>
                <w:szCs w:val="21"/>
                <w:u w:val="none"/>
                <w:lang w:val="en-US" w:eastAsia="zh-CN" w:bidi="ar"/>
              </w:rPr>
            </w:pPr>
            <w:r>
              <w:rPr>
                <w:rFonts w:hint="eastAsia" w:ascii="宋体" w:hAnsi="宋体" w:eastAsia="方正仿宋_GBK" w:cs="方正仿宋_GBK"/>
                <w:i w:val="0"/>
                <w:color w:val="auto"/>
                <w:kern w:val="0"/>
                <w:sz w:val="21"/>
                <w:szCs w:val="21"/>
                <w:u w:val="none"/>
                <w:lang w:val="en-US" w:eastAsia="zh-CN" w:bidi="ar"/>
              </w:rPr>
              <w:t xml:space="preserve">    1.积极争取上级财政资金支持。统筹使用中央预算内投资的城市更新专项资金、超长期特别国债、设备更新再贷款、中央引导地方科技发展资金等中央资金投向、省预算内资金、中央生态环境专项资金等，推动存量用地盘活。</w:t>
            </w:r>
            <w:r>
              <w:rPr>
                <w:rFonts w:hint="eastAsia" w:ascii="宋体" w:hAnsi="宋体" w:eastAsia="方正仿宋_GBK" w:cs="方正仿宋_GBK"/>
                <w:i w:val="0"/>
                <w:color w:val="auto"/>
                <w:kern w:val="0"/>
                <w:sz w:val="21"/>
                <w:szCs w:val="21"/>
                <w:u w:val="none"/>
                <w:lang w:val="en-US" w:eastAsia="zh-CN" w:bidi="ar"/>
              </w:rPr>
              <w:br w:type="textWrapping"/>
            </w:r>
            <w:r>
              <w:rPr>
                <w:rFonts w:hint="eastAsia" w:ascii="宋体" w:hAnsi="宋体" w:eastAsia="方正仿宋_GBK" w:cs="方正仿宋_GBK"/>
                <w:i w:val="0"/>
                <w:color w:val="auto"/>
                <w:kern w:val="0"/>
                <w:sz w:val="21"/>
                <w:szCs w:val="21"/>
                <w:u w:val="none"/>
                <w:lang w:val="en-US" w:eastAsia="zh-CN" w:bidi="ar"/>
              </w:rPr>
              <w:t xml:space="preserve">    2.引导做好盘活存量资产回收资金使用。加大存量资产盘活，加强回收资金管理，除按规定用于本项目职工安置、税费缴纳、债务偿还等支出外，应确保主要用于项目建设，形成优质资产。鼓励以资本金注入方式将回收资金用于具有收益的项目建设，充分发挥回收资金对扩大投资的撬动作用。</w:t>
            </w:r>
            <w:r>
              <w:rPr>
                <w:rFonts w:hint="eastAsia" w:ascii="宋体" w:hAnsi="宋体" w:eastAsia="方正仿宋_GBK" w:cs="方正仿宋_GBK"/>
                <w:i w:val="0"/>
                <w:color w:val="auto"/>
                <w:kern w:val="0"/>
                <w:sz w:val="21"/>
                <w:szCs w:val="21"/>
                <w:u w:val="none"/>
                <w:lang w:val="en-US" w:eastAsia="zh-CN" w:bidi="ar"/>
              </w:rPr>
              <w:br w:type="textWrapping"/>
            </w:r>
            <w:r>
              <w:rPr>
                <w:rFonts w:hint="eastAsia" w:ascii="宋体" w:hAnsi="宋体" w:eastAsia="方正仿宋_GBK" w:cs="方正仿宋_GBK"/>
                <w:i w:val="0"/>
                <w:color w:val="auto"/>
                <w:kern w:val="0"/>
                <w:sz w:val="21"/>
                <w:szCs w:val="21"/>
                <w:u w:val="none"/>
                <w:lang w:val="en-US" w:eastAsia="zh-CN" w:bidi="ar"/>
              </w:rPr>
              <w:t xml:space="preserve">    3.强化专项资金引导作用。统筹省级工业领域专项资金，通过直接补助、以奖代补、贷款贴息、购买服务等方式，支持专精特新企业打造新动能、攻坚新技术、开发新产品、强化产业链配套能力等。</w:t>
            </w: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31DEE1DC">
            <w:pPr>
              <w:keepNext w:val="0"/>
              <w:keepLines w:val="0"/>
              <w:pageBreakBefore w:val="0"/>
              <w:widowControl/>
              <w:suppressLineNumbers w:val="0"/>
              <w:kinsoku/>
              <w:wordWrap/>
              <w:overflowPunct/>
              <w:topLinePunct w:val="0"/>
              <w:autoSpaceDE/>
              <w:autoSpaceDN/>
              <w:bidi w:val="0"/>
              <w:adjustRightInd/>
              <w:snapToGrid/>
              <w:spacing w:line="240" w:lineRule="exact"/>
              <w:ind w:left="-62" w:leftChars="-20" w:right="-62" w:rightChars="-20"/>
              <w:jc w:val="both"/>
              <w:textAlignment w:val="center"/>
              <w:rPr>
                <w:rFonts w:hint="eastAsia" w:ascii="宋体" w:hAnsi="宋体" w:eastAsia="方正仿宋_GBK" w:cs="方正仿宋_GBK"/>
                <w:i w:val="0"/>
                <w:color w:val="auto"/>
                <w:kern w:val="0"/>
                <w:sz w:val="21"/>
                <w:szCs w:val="21"/>
                <w:u w:val="none"/>
                <w:lang w:val="en-US" w:eastAsia="zh-CN" w:bidi="ar"/>
              </w:rPr>
            </w:pPr>
            <w:r>
              <w:rPr>
                <w:rFonts w:hint="eastAsia" w:ascii="宋体" w:hAnsi="宋体" w:eastAsia="方正仿宋_GBK" w:cs="方正仿宋_GBK"/>
                <w:i w:val="0"/>
                <w:color w:val="auto"/>
                <w:kern w:val="0"/>
                <w:sz w:val="21"/>
                <w:szCs w:val="21"/>
                <w:u w:val="none"/>
                <w:lang w:val="en-US" w:eastAsia="zh-CN" w:bidi="ar"/>
              </w:rPr>
              <w:t>《国务院办公厅关于进一步盘活存量资产扩大有效投资的意见》（国办发〔2022〕19号）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67397C4F">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both"/>
              <w:rPr>
                <w:rFonts w:hint="eastAsia" w:ascii="宋体" w:hAnsi="宋体" w:eastAsia="方正仿宋_GBK" w:cs="方正仿宋_GBK"/>
                <w:i w:val="0"/>
                <w:color w:val="000000"/>
                <w:sz w:val="21"/>
                <w:szCs w:val="21"/>
                <w:u w:val="none"/>
              </w:rPr>
            </w:pPr>
          </w:p>
        </w:tc>
      </w:tr>
      <w:tr w14:paraId="14DC3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08BE31F1">
            <w:pPr>
              <w:keepNext w:val="0"/>
              <w:keepLines w:val="0"/>
              <w:pageBreakBefore w:val="0"/>
              <w:widowControl/>
              <w:suppressLineNumbers w:val="0"/>
              <w:kinsoku/>
              <w:wordWrap/>
              <w:overflowPunct/>
              <w:topLinePunct w:val="0"/>
              <w:autoSpaceDE/>
              <w:autoSpaceDN/>
              <w:bidi w:val="0"/>
              <w:adjustRightInd/>
              <w:snapToGrid/>
              <w:spacing w:line="240" w:lineRule="exact"/>
              <w:ind w:left="-62" w:leftChars="-20" w:right="-62" w:rightChars="-20"/>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88</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5B2E76">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85280C">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E2FAD0">
            <w:pPr>
              <w:keepNext w:val="0"/>
              <w:keepLines w:val="0"/>
              <w:pageBreakBefore w:val="0"/>
              <w:widowControl/>
              <w:suppressLineNumbers w:val="0"/>
              <w:kinsoku/>
              <w:wordWrap/>
              <w:overflowPunct/>
              <w:topLinePunct w:val="0"/>
              <w:autoSpaceDE/>
              <w:autoSpaceDN/>
              <w:bidi w:val="0"/>
              <w:adjustRightInd/>
              <w:snapToGrid/>
              <w:spacing w:line="240" w:lineRule="exact"/>
              <w:ind w:left="-62" w:leftChars="-20" w:right="-62" w:rightChars="-20"/>
              <w:jc w:val="both"/>
              <w:textAlignment w:val="center"/>
              <w:rPr>
                <w:rFonts w:hint="eastAsia" w:ascii="宋体" w:hAnsi="宋体" w:eastAsia="方正仿宋_GBK" w:cs="方正仿宋_GBK"/>
                <w:i w:val="0"/>
                <w:color w:val="auto"/>
                <w:kern w:val="0"/>
                <w:sz w:val="21"/>
                <w:szCs w:val="21"/>
                <w:u w:val="none"/>
                <w:lang w:val="en-US" w:eastAsia="zh-CN" w:bidi="ar"/>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7EDFCBD7">
            <w:pPr>
              <w:keepNext w:val="0"/>
              <w:keepLines w:val="0"/>
              <w:pageBreakBefore w:val="0"/>
              <w:widowControl/>
              <w:suppressLineNumbers w:val="0"/>
              <w:kinsoku/>
              <w:wordWrap/>
              <w:overflowPunct/>
              <w:topLinePunct w:val="0"/>
              <w:autoSpaceDE/>
              <w:autoSpaceDN/>
              <w:bidi w:val="0"/>
              <w:adjustRightInd/>
              <w:snapToGrid/>
              <w:spacing w:line="240" w:lineRule="exact"/>
              <w:ind w:left="-62" w:leftChars="-20" w:right="-62" w:rightChars="-20"/>
              <w:jc w:val="both"/>
              <w:textAlignment w:val="center"/>
              <w:rPr>
                <w:rFonts w:hint="eastAsia" w:ascii="宋体" w:hAnsi="宋体" w:eastAsia="方正仿宋_GBK" w:cs="方正仿宋_GBK"/>
                <w:i w:val="0"/>
                <w:color w:val="auto"/>
                <w:kern w:val="0"/>
                <w:sz w:val="21"/>
                <w:szCs w:val="21"/>
                <w:u w:val="none"/>
                <w:lang w:val="en-US" w:eastAsia="zh-CN" w:bidi="ar"/>
              </w:rPr>
            </w:pPr>
            <w:r>
              <w:rPr>
                <w:rFonts w:hint="eastAsia" w:ascii="宋体" w:hAnsi="宋体" w:eastAsia="方正仿宋_GBK" w:cs="方正仿宋_GBK"/>
                <w:i w:val="0"/>
                <w:color w:val="auto"/>
                <w:kern w:val="0"/>
                <w:sz w:val="21"/>
                <w:szCs w:val="21"/>
                <w:u w:val="none"/>
                <w:lang w:val="en-US" w:eastAsia="zh-CN" w:bidi="ar"/>
              </w:rPr>
              <w:t>《云南省人民政府办公厅关于印发〈云南省专精特新企业倍增三年行动计划（2025—2027年）〉的通知》（云政办发〔2025〕27号）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6754B0CD">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both"/>
              <w:rPr>
                <w:rFonts w:hint="eastAsia" w:ascii="宋体" w:hAnsi="宋体" w:eastAsia="方正仿宋_GBK" w:cs="方正仿宋_GBK"/>
                <w:i w:val="0"/>
                <w:color w:val="000000"/>
                <w:sz w:val="21"/>
                <w:szCs w:val="21"/>
                <w:u w:val="none"/>
              </w:rPr>
            </w:pPr>
          </w:p>
        </w:tc>
      </w:tr>
      <w:tr w14:paraId="14808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5F399104">
            <w:pPr>
              <w:keepNext w:val="0"/>
              <w:keepLines w:val="0"/>
              <w:pageBreakBefore w:val="0"/>
              <w:widowControl/>
              <w:suppressLineNumbers w:val="0"/>
              <w:kinsoku/>
              <w:wordWrap/>
              <w:overflowPunct/>
              <w:topLinePunct w:val="0"/>
              <w:autoSpaceDE/>
              <w:autoSpaceDN/>
              <w:bidi w:val="0"/>
              <w:adjustRightInd/>
              <w:snapToGrid/>
              <w:spacing w:line="240" w:lineRule="exact"/>
              <w:ind w:left="-62" w:leftChars="-20" w:right="-62" w:rightChars="-20"/>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89</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F362A6">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A63FC6">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BF6F7D">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both"/>
              <w:rPr>
                <w:rFonts w:hint="eastAsia" w:ascii="宋体" w:hAnsi="宋体" w:eastAsia="方正仿宋_GBK" w:cs="方正仿宋_GBK"/>
                <w:i w:val="0"/>
                <w:color w:val="auto"/>
                <w:sz w:val="21"/>
                <w:szCs w:val="21"/>
                <w:highlight w:val="none"/>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2225FD0C">
            <w:pPr>
              <w:keepNext w:val="0"/>
              <w:keepLines w:val="0"/>
              <w:pageBreakBefore w:val="0"/>
              <w:widowControl/>
              <w:suppressLineNumbers w:val="0"/>
              <w:kinsoku/>
              <w:wordWrap/>
              <w:overflowPunct/>
              <w:topLinePunct w:val="0"/>
              <w:autoSpaceDE/>
              <w:autoSpaceDN/>
              <w:bidi w:val="0"/>
              <w:adjustRightInd/>
              <w:snapToGrid/>
              <w:spacing w:line="240" w:lineRule="exact"/>
              <w:ind w:left="-62" w:leftChars="-20" w:right="-62" w:rightChars="-20"/>
              <w:jc w:val="both"/>
              <w:textAlignment w:val="center"/>
              <w:rPr>
                <w:rFonts w:hint="eastAsia" w:ascii="宋体" w:hAnsi="宋体" w:eastAsia="方正仿宋_GBK" w:cs="方正仿宋_GBK"/>
                <w:i w:val="0"/>
                <w:color w:val="auto"/>
                <w:sz w:val="21"/>
                <w:szCs w:val="21"/>
                <w:highlight w:val="none"/>
                <w:u w:val="none"/>
              </w:rPr>
            </w:pPr>
            <w:r>
              <w:rPr>
                <w:rFonts w:hint="eastAsia" w:ascii="宋体" w:hAnsi="宋体" w:eastAsia="方正仿宋_GBK" w:cs="方正仿宋_GBK"/>
                <w:i w:val="0"/>
                <w:color w:val="auto"/>
                <w:kern w:val="0"/>
                <w:sz w:val="21"/>
                <w:szCs w:val="21"/>
                <w:highlight w:val="none"/>
                <w:u w:val="none"/>
                <w:lang w:val="en-US" w:eastAsia="zh-CN" w:bidi="ar"/>
              </w:rPr>
              <w:t>《云南省产业园区发展行动方案》（云政办函〔2026〕7号）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1A539BAB">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both"/>
              <w:rPr>
                <w:rFonts w:hint="eastAsia" w:ascii="宋体" w:hAnsi="宋体" w:eastAsia="方正仿宋_GBK" w:cs="方正仿宋_GBK"/>
                <w:i w:val="0"/>
                <w:color w:val="000000"/>
                <w:sz w:val="21"/>
                <w:szCs w:val="21"/>
                <w:u w:val="none"/>
              </w:rPr>
            </w:pPr>
          </w:p>
        </w:tc>
      </w:tr>
      <w:tr w14:paraId="37977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7"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50DC6597">
            <w:pPr>
              <w:keepNext w:val="0"/>
              <w:keepLines w:val="0"/>
              <w:pageBreakBefore w:val="0"/>
              <w:widowControl/>
              <w:suppressLineNumbers w:val="0"/>
              <w:kinsoku/>
              <w:wordWrap/>
              <w:overflowPunct/>
              <w:topLinePunct w:val="0"/>
              <w:autoSpaceDE/>
              <w:autoSpaceDN/>
              <w:bidi w:val="0"/>
              <w:adjustRightInd/>
              <w:snapToGrid/>
              <w:spacing w:line="240" w:lineRule="exact"/>
              <w:ind w:left="-62" w:leftChars="-20" w:right="-62" w:rightChars="-20"/>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90</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03AE9E">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70225B">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A66FD2">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both"/>
              <w:rPr>
                <w:rFonts w:hint="eastAsia" w:ascii="宋体" w:hAnsi="宋体" w:eastAsia="方正仿宋_GBK" w:cs="方正仿宋_GBK"/>
                <w:i w:val="0"/>
                <w:color w:val="auto"/>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7C6CACD0">
            <w:pPr>
              <w:keepNext w:val="0"/>
              <w:keepLines w:val="0"/>
              <w:pageBreakBefore w:val="0"/>
              <w:widowControl/>
              <w:suppressLineNumbers w:val="0"/>
              <w:kinsoku/>
              <w:wordWrap/>
              <w:overflowPunct/>
              <w:topLinePunct w:val="0"/>
              <w:autoSpaceDE/>
              <w:autoSpaceDN/>
              <w:bidi w:val="0"/>
              <w:adjustRightInd/>
              <w:snapToGrid/>
              <w:spacing w:line="240" w:lineRule="exact"/>
              <w:ind w:left="-62" w:leftChars="-20" w:right="-62" w:rightChars="-20"/>
              <w:jc w:val="both"/>
              <w:textAlignment w:val="center"/>
              <w:rPr>
                <w:rFonts w:hint="eastAsia" w:ascii="宋体" w:hAnsi="宋体" w:eastAsia="方正仿宋_GBK" w:cs="方正仿宋_GBK"/>
                <w:i w:val="0"/>
                <w:color w:val="auto"/>
                <w:sz w:val="21"/>
                <w:szCs w:val="21"/>
                <w:u w:val="none"/>
              </w:rPr>
            </w:pPr>
            <w:r>
              <w:rPr>
                <w:rFonts w:hint="eastAsia" w:ascii="宋体" w:hAnsi="宋体" w:eastAsia="方正仿宋_GBK" w:cs="方正仿宋_GBK"/>
                <w:i w:val="0"/>
                <w:color w:val="auto"/>
                <w:kern w:val="0"/>
                <w:sz w:val="21"/>
                <w:szCs w:val="21"/>
                <w:u w:val="none"/>
                <w:lang w:val="en-US" w:eastAsia="zh-CN" w:bidi="ar"/>
              </w:rPr>
              <w:t>《云南省政府投资基金支持产业高质量发展实施方案》（云政发〔2024〕30号）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58B5CD8C">
            <w:pPr>
              <w:keepNext w:val="0"/>
              <w:keepLines w:val="0"/>
              <w:pageBreakBefore w:val="0"/>
              <w:widowControl/>
              <w:kinsoku/>
              <w:wordWrap/>
              <w:overflowPunct/>
              <w:topLinePunct w:val="0"/>
              <w:autoSpaceDE/>
              <w:autoSpaceDN/>
              <w:bidi w:val="0"/>
              <w:adjustRightInd/>
              <w:snapToGrid/>
              <w:spacing w:after="0" w:line="240" w:lineRule="exact"/>
              <w:ind w:left="-62" w:leftChars="-20" w:right="-62" w:rightChars="-20"/>
              <w:jc w:val="both"/>
              <w:rPr>
                <w:rFonts w:hint="eastAsia" w:ascii="宋体" w:hAnsi="宋体" w:eastAsia="方正仿宋_GBK" w:cs="方正仿宋_GBK"/>
                <w:i w:val="0"/>
                <w:color w:val="000000"/>
                <w:sz w:val="21"/>
                <w:szCs w:val="21"/>
                <w:u w:val="none"/>
              </w:rPr>
            </w:pPr>
          </w:p>
        </w:tc>
      </w:tr>
      <w:tr w14:paraId="432EF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0A75F7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91</w:t>
            </w:r>
          </w:p>
        </w:tc>
        <w:tc>
          <w:tcPr>
            <w:tcW w:w="1294" w:type="dxa"/>
            <w:vMerge w:val="restart"/>
            <w:tcBorders>
              <w:top w:val="single" w:color="000000" w:sz="4" w:space="0"/>
              <w:left w:val="single" w:color="000000" w:sz="4" w:space="0"/>
              <w:bottom w:val="single" w:color="000000" w:sz="4" w:space="0"/>
              <w:right w:val="single" w:color="000000" w:sz="4" w:space="0"/>
            </w:tcBorders>
            <w:noWrap w:val="0"/>
            <w:vAlign w:val="center"/>
          </w:tcPr>
          <w:p w14:paraId="2EAEC3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b/>
                <w:i w:val="0"/>
                <w:color w:val="000000"/>
                <w:sz w:val="21"/>
                <w:szCs w:val="21"/>
                <w:u w:val="none"/>
              </w:rPr>
            </w:pPr>
            <w:r>
              <w:rPr>
                <w:rFonts w:hint="eastAsia" w:ascii="宋体" w:hAnsi="宋体" w:eastAsia="方正仿宋_GBK" w:cs="方正仿宋_GBK"/>
                <w:b/>
                <w:i w:val="0"/>
                <w:color w:val="000000"/>
                <w:kern w:val="0"/>
                <w:sz w:val="21"/>
                <w:szCs w:val="21"/>
                <w:u w:val="none"/>
                <w:lang w:val="en-US" w:eastAsia="zh-CN" w:bidi="ar"/>
              </w:rPr>
              <w:t>五、优化服务流程</w:t>
            </w:r>
          </w:p>
        </w:tc>
        <w:tc>
          <w:tcPr>
            <w:tcW w:w="1235" w:type="dxa"/>
            <w:vMerge w:val="restart"/>
            <w:tcBorders>
              <w:top w:val="single" w:color="000000" w:sz="4" w:space="0"/>
              <w:left w:val="single" w:color="000000" w:sz="4" w:space="0"/>
              <w:bottom w:val="single" w:color="000000" w:sz="4" w:space="0"/>
              <w:right w:val="single" w:color="000000" w:sz="4" w:space="0"/>
            </w:tcBorders>
            <w:noWrap w:val="0"/>
            <w:vAlign w:val="center"/>
          </w:tcPr>
          <w:p w14:paraId="37533D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（二十三）简化审批流程</w:t>
            </w:r>
          </w:p>
        </w:tc>
        <w:tc>
          <w:tcPr>
            <w:tcW w:w="7488" w:type="dxa"/>
            <w:vMerge w:val="restart"/>
            <w:tcBorders>
              <w:top w:val="single" w:color="000000" w:sz="4" w:space="0"/>
              <w:left w:val="single" w:color="000000" w:sz="4" w:space="0"/>
              <w:bottom w:val="single" w:color="000000" w:sz="4" w:space="0"/>
              <w:right w:val="single" w:color="000000" w:sz="4" w:space="0"/>
            </w:tcBorders>
            <w:noWrap w:val="0"/>
            <w:vAlign w:val="center"/>
          </w:tcPr>
          <w:p w14:paraId="5D6A4C2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 xml:space="preserve">    1.简化详细规划调整程序。建立修改、维护和勘误三种详细规划调整的动态管理制度，对经营性用地调整为公益性用地，以及在不影响单元主导功能、住宅总建筑面积控制要求，满足公共服务设施需求的前提下，结合城市设计引导可对商业用地、住宅用地之间性质以及强度进行适度调整，无需按照修改程序开展，通过详细规划维护程序即可完成规划的调整。</w:t>
            </w:r>
            <w:r>
              <w:rPr>
                <w:rFonts w:hint="eastAsia" w:ascii="宋体" w:hAnsi="宋体" w:eastAsia="方正仿宋_GBK" w:cs="方正仿宋_GBK"/>
                <w:i w:val="0"/>
                <w:color w:val="000000"/>
                <w:kern w:val="0"/>
                <w:sz w:val="21"/>
                <w:szCs w:val="21"/>
                <w:u w:val="none"/>
                <w:lang w:val="en-US" w:eastAsia="zh-CN" w:bidi="ar"/>
              </w:rPr>
              <w:br w:type="textWrapping"/>
            </w:r>
            <w:r>
              <w:rPr>
                <w:rFonts w:hint="eastAsia" w:ascii="宋体" w:hAnsi="宋体" w:eastAsia="方正仿宋_GBK" w:cs="方正仿宋_GBK"/>
                <w:i w:val="0"/>
                <w:color w:val="000000"/>
                <w:kern w:val="0"/>
                <w:sz w:val="21"/>
                <w:szCs w:val="21"/>
                <w:u w:val="none"/>
                <w:lang w:val="en-US" w:eastAsia="zh-CN" w:bidi="ar"/>
              </w:rPr>
              <w:t xml:space="preserve">    2.提升审批协同效率。推行用地用林用草联动审批制度改革，精简合并要件材料，全面提升用地审批质效。持续深化工业“标准地”改革，实现“拿地即可开工”，提升营商环境。</w:t>
            </w: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0C6C879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《城市存量空间盘活优化规划指南》（TD/T 1111-2025）</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6B6AB590">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7AA93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704245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92</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BA08F6">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91C1FC">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F75DB6">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7740BC1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《自然资源部 住房城乡建设部关于进一步支持城市更新行动若干措施的通知》（自然资发〔2025〕226号）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10FC8DF7">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19FB5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6150B3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93</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5FB57B">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F7A861">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1BA149">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29B3308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《支持城市更新的规划与土地政策指引（2023版）》（自然资办发〔2023〕47号）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667B3264">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3AC58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59C0D4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94</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9D72F1">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D0D5E0">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7842EF">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0B94634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《云南省国土空间详细规划编制导则（试行）》</w:t>
            </w:r>
            <w:r>
              <w:rPr>
                <w:rFonts w:hint="eastAsia" w:ascii="宋体" w:hAnsi="宋体" w:eastAsia="方正仿宋_GBK" w:cs="方正仿宋_GBK"/>
                <w:snapToGrid/>
                <w:color w:val="000000"/>
                <w:kern w:val="0"/>
                <w:sz w:val="21"/>
                <w:szCs w:val="21"/>
                <w:u w:val="none"/>
                <w:lang w:val="en-US" w:eastAsia="zh-CN" w:bidi="ar"/>
              </w:rPr>
              <w:t>（云自然资空规〔2023〕402号）</w:t>
            </w:r>
          </w:p>
        </w:tc>
        <w:tc>
          <w:tcPr>
            <w:tcW w:w="3566" w:type="dxa"/>
            <w:tcBorders>
              <w:top w:val="single" w:color="000000" w:sz="4" w:space="0"/>
              <w:left w:val="single" w:color="000000" w:sz="4" w:space="0"/>
              <w:bottom w:val="single" w:color="000000" w:sz="4" w:space="0"/>
              <w:right w:val="single" w:color="000000" w:sz="4" w:space="0"/>
            </w:tcBorders>
            <w:noWrap/>
            <w:vAlign w:val="center"/>
          </w:tcPr>
          <w:p w14:paraId="1A1AC9E2">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1DB1B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6A5B19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95</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76C23B">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31A242">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68C040">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6662065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《云南省自然资源厅关于加快推进城市地下空间开发利用的实施意见（试行）》（云自然资权益〔2025〕270号）</w:t>
            </w:r>
          </w:p>
        </w:tc>
        <w:tc>
          <w:tcPr>
            <w:tcW w:w="3566" w:type="dxa"/>
            <w:tcBorders>
              <w:top w:val="single" w:color="000000" w:sz="4" w:space="0"/>
              <w:left w:val="single" w:color="000000" w:sz="4" w:space="0"/>
              <w:bottom w:val="single" w:color="000000" w:sz="4" w:space="0"/>
              <w:right w:val="single" w:color="000000" w:sz="4" w:space="0"/>
            </w:tcBorders>
            <w:noWrap/>
            <w:vAlign w:val="center"/>
          </w:tcPr>
          <w:p w14:paraId="4E2932DE">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104E5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58E02C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96</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916FE0">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EDF708">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993046">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4CF63A4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w:t>
            </w:r>
            <w:r>
              <w:rPr>
                <w:rFonts w:hint="eastAsia" w:ascii="宋体" w:hAnsi="宋体" w:eastAsia="方正仿宋_GBK" w:cs="方正仿宋_GBK"/>
                <w:b w:val="0"/>
                <w:bCs w:val="0"/>
                <w:i w:val="0"/>
                <w:iCs w:val="0"/>
                <w:caps w:val="0"/>
                <w:color w:val="000000"/>
                <w:spacing w:val="0"/>
                <w:kern w:val="0"/>
                <w:sz w:val="21"/>
                <w:szCs w:val="21"/>
                <w:shd w:val="clear" w:color="auto" w:fill="auto"/>
                <w:lang w:bidi="ar"/>
              </w:rPr>
              <w:t>云南省人民政府办公厅印发</w:t>
            </w:r>
            <w:r>
              <w:rPr>
                <w:rFonts w:hint="eastAsia" w:ascii="宋体" w:hAnsi="宋体" w:eastAsia="方正仿宋_GBK" w:cs="方正仿宋_GBK"/>
                <w:b w:val="0"/>
                <w:bCs w:val="0"/>
                <w:i w:val="0"/>
                <w:iCs w:val="0"/>
                <w:caps w:val="0"/>
                <w:color w:val="000000"/>
                <w:spacing w:val="0"/>
                <w:kern w:val="0"/>
                <w:sz w:val="21"/>
                <w:szCs w:val="21"/>
                <w:shd w:val="clear" w:color="auto" w:fill="auto"/>
                <w:lang w:val="en-US" w:eastAsia="zh-CN" w:bidi="ar"/>
              </w:rPr>
              <w:t>〈</w:t>
            </w:r>
            <w:r>
              <w:rPr>
                <w:rFonts w:hint="eastAsia" w:ascii="宋体" w:hAnsi="宋体" w:eastAsia="方正仿宋_GBK" w:cs="方正仿宋_GBK"/>
                <w:i w:val="0"/>
                <w:color w:val="000000"/>
                <w:kern w:val="0"/>
                <w:sz w:val="21"/>
                <w:szCs w:val="21"/>
                <w:u w:val="none"/>
                <w:lang w:val="en-US" w:eastAsia="zh-CN" w:bidi="ar"/>
              </w:rPr>
              <w:t>关于加强节约集约用地促进高质量发展的若干措施</w:t>
            </w:r>
            <w:r>
              <w:rPr>
                <w:rFonts w:hint="eastAsia" w:ascii="宋体" w:hAnsi="宋体" w:eastAsia="方正仿宋_GBK" w:cs="方正仿宋_GBK"/>
                <w:b w:val="0"/>
                <w:bCs w:val="0"/>
                <w:i w:val="0"/>
                <w:iCs w:val="0"/>
                <w:caps w:val="0"/>
                <w:color w:val="000000"/>
                <w:spacing w:val="0"/>
                <w:kern w:val="0"/>
                <w:sz w:val="21"/>
                <w:szCs w:val="21"/>
                <w:shd w:val="clear" w:color="auto" w:fill="auto"/>
                <w:lang w:val="en-US" w:eastAsia="zh-CN" w:bidi="ar"/>
              </w:rPr>
              <w:t>〉</w:t>
            </w:r>
            <w:r>
              <w:rPr>
                <w:rFonts w:hint="eastAsia" w:ascii="宋体" w:hAnsi="宋体" w:eastAsia="方正仿宋_GBK" w:cs="方正仿宋_GBK"/>
                <w:i w:val="0"/>
                <w:color w:val="000000"/>
                <w:kern w:val="0"/>
                <w:sz w:val="21"/>
                <w:szCs w:val="21"/>
                <w:u w:val="none"/>
                <w:lang w:val="en-US" w:eastAsia="zh-CN" w:bidi="ar"/>
              </w:rPr>
              <w:t>的通知》（云政办发〔2025〕34号）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2FCC042E">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2031D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4745F6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97</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3F1423">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7E2BF2">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EE8722">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4DED42C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《云南省自然资源厅关于加强土地要素保障支持民营经济高质量发展的实施意见》（云自然资〔2024〕2号）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4F08F1ED">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6A050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70BF11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98</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179E94">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A588E2">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2F80F7">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3DDB85F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《云南省工业项目“标准地”出让改革工作指引》（云自然资〔2023〕32号）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0E7688FA">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7F42E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626BB8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99</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CA12CB">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restart"/>
            <w:tcBorders>
              <w:top w:val="single" w:color="000000" w:sz="4" w:space="0"/>
              <w:left w:val="single" w:color="000000" w:sz="4" w:space="0"/>
              <w:bottom w:val="single" w:color="000000" w:sz="4" w:space="0"/>
              <w:right w:val="single" w:color="000000" w:sz="4" w:space="0"/>
            </w:tcBorders>
            <w:noWrap w:val="0"/>
            <w:vAlign w:val="center"/>
          </w:tcPr>
          <w:p w14:paraId="766C73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（二十四）开展历史遗留用地处置</w:t>
            </w:r>
          </w:p>
        </w:tc>
        <w:tc>
          <w:tcPr>
            <w:tcW w:w="7488" w:type="dxa"/>
            <w:vMerge w:val="restart"/>
            <w:tcBorders>
              <w:top w:val="single" w:color="000000" w:sz="4" w:space="0"/>
              <w:left w:val="single" w:color="000000" w:sz="4" w:space="0"/>
              <w:bottom w:val="single" w:color="000000" w:sz="4" w:space="0"/>
              <w:right w:val="single" w:color="000000" w:sz="4" w:space="0"/>
            </w:tcBorders>
            <w:noWrap w:val="0"/>
            <w:vAlign w:val="center"/>
          </w:tcPr>
          <w:p w14:paraId="7B1D273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 xml:space="preserve">    按照依法依规、尊重历史、公平公正、包容审慎的原则，妥善处置历史遗留用地。对第二次全国土地调查和第三次全国国土调查均调查认定为建设用地的，在符合规划用途前提下，经所在农民集体同意，并公告30天无异议，经乡（镇）人民政府审核，报县级人民政府批准，允许按建设用地依法办理土地征收手续，也可按集体建设用地依法使用。国土空间规划依法作出了重大调整，违法用地的规划土地用途发生重大变更的，可以按照从轻原则判定是否符合国土空间规划。</w:t>
            </w: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4AA4CE8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《自然资源部关于开展低效用地再开发试点工作的通知》（自然资发〔2023〕171号）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4F57D8B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p>
        </w:tc>
      </w:tr>
      <w:tr w14:paraId="5D027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5C7130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100</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5D83BB">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B06595">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721F36">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1E7BB7A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《国土资源部关于进一步加快宅基地和集体建设用地确权登记发证有关问题的通知》（国土资发〔2016〕191号）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3B17DDC4">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2E02E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679554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101</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BFC61B">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AB30E9">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681E60">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787FC81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《乡村振兴用地政策指南（2023年）》</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1DAEC10A">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2AC13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7686CF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102</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156F14">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B2676E">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73BD28">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3EB81F2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《云南省自然资源厅关于加强旅居产业用地保障的通知》（云自然资利用〔2025〕73号）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0D745FF5">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0DFEC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0B66A5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103</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A56749">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restart"/>
            <w:tcBorders>
              <w:top w:val="single" w:color="000000" w:sz="4" w:space="0"/>
              <w:left w:val="single" w:color="000000" w:sz="4" w:space="0"/>
              <w:bottom w:val="single" w:color="000000" w:sz="4" w:space="0"/>
              <w:right w:val="single" w:color="000000" w:sz="4" w:space="0"/>
            </w:tcBorders>
            <w:noWrap w:val="0"/>
            <w:vAlign w:val="center"/>
          </w:tcPr>
          <w:p w14:paraId="713E5D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（二十五）规范不动产登记</w:t>
            </w:r>
          </w:p>
        </w:tc>
        <w:tc>
          <w:tcPr>
            <w:tcW w:w="7488" w:type="dxa"/>
            <w:vMerge w:val="restart"/>
            <w:tcBorders>
              <w:top w:val="single" w:color="000000" w:sz="4" w:space="0"/>
              <w:left w:val="single" w:color="000000" w:sz="4" w:space="0"/>
              <w:bottom w:val="single" w:color="000000" w:sz="4" w:space="0"/>
              <w:right w:val="single" w:color="000000" w:sz="4" w:space="0"/>
            </w:tcBorders>
            <w:noWrap w:val="0"/>
            <w:vAlign w:val="center"/>
          </w:tcPr>
          <w:p w14:paraId="70E1E1E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 xml:space="preserve">    在缴清土地价款的情况下，存量盘活形成的不动产可根据不同情形依法依规进行不动产登记。</w:t>
            </w:r>
            <w:r>
              <w:rPr>
                <w:rFonts w:hint="eastAsia" w:ascii="宋体" w:hAnsi="宋体" w:eastAsia="方正仿宋_GBK" w:cs="方正仿宋_GBK"/>
                <w:i w:val="0"/>
                <w:color w:val="000000"/>
                <w:kern w:val="0"/>
                <w:sz w:val="21"/>
                <w:szCs w:val="21"/>
                <w:u w:val="none"/>
                <w:lang w:val="en-US" w:eastAsia="zh-CN" w:bidi="ar"/>
              </w:rPr>
              <w:br w:type="textWrapping"/>
            </w:r>
            <w:r>
              <w:rPr>
                <w:rFonts w:hint="eastAsia" w:ascii="宋体" w:hAnsi="宋体" w:eastAsia="方正仿宋_GBK" w:cs="方正仿宋_GBK"/>
                <w:i w:val="0"/>
                <w:color w:val="000000"/>
                <w:kern w:val="0"/>
                <w:sz w:val="21"/>
                <w:szCs w:val="21"/>
                <w:u w:val="none"/>
                <w:lang w:val="en-US" w:eastAsia="zh-CN" w:bidi="ar"/>
              </w:rPr>
              <w:t xml:space="preserve">    1.兼容多种功能的土地和建筑物，对于可分割的可考虑按不同宗地范围、不同建筑区域或楼层办理分割审批手续、分区分层设权后，办理不动产登记。</w:t>
            </w:r>
            <w:r>
              <w:rPr>
                <w:rFonts w:hint="eastAsia" w:ascii="宋体" w:hAnsi="宋体" w:eastAsia="方正仿宋_GBK" w:cs="方正仿宋_GBK"/>
                <w:i w:val="0"/>
                <w:color w:val="000000"/>
                <w:kern w:val="0"/>
                <w:sz w:val="21"/>
                <w:szCs w:val="21"/>
                <w:u w:val="none"/>
                <w:lang w:val="en-US" w:eastAsia="zh-CN" w:bidi="ar"/>
              </w:rPr>
              <w:br w:type="textWrapping"/>
            </w:r>
            <w:r>
              <w:rPr>
                <w:rFonts w:hint="eastAsia" w:ascii="宋体" w:hAnsi="宋体" w:eastAsia="方正仿宋_GBK" w:cs="方正仿宋_GBK"/>
                <w:i w:val="0"/>
                <w:color w:val="000000"/>
                <w:kern w:val="0"/>
                <w:sz w:val="21"/>
                <w:szCs w:val="21"/>
                <w:u w:val="none"/>
                <w:lang w:val="en-US" w:eastAsia="zh-CN" w:bidi="ar"/>
              </w:rPr>
              <w:t xml:space="preserve">    2.立体开发的土地，可考虑按地表、地上、地下分层或按建筑功能分区办理分割审批、分别设权后，办理不动产登记。</w:t>
            </w:r>
            <w:r>
              <w:rPr>
                <w:rFonts w:hint="eastAsia" w:ascii="宋体" w:hAnsi="宋体" w:eastAsia="方正仿宋_GBK" w:cs="方正仿宋_GBK"/>
                <w:i w:val="0"/>
                <w:color w:val="000000"/>
                <w:kern w:val="0"/>
                <w:sz w:val="21"/>
                <w:szCs w:val="21"/>
                <w:u w:val="none"/>
                <w:lang w:val="en-US" w:eastAsia="zh-CN" w:bidi="ar"/>
              </w:rPr>
              <w:br w:type="textWrapping"/>
            </w:r>
            <w:r>
              <w:rPr>
                <w:rFonts w:hint="eastAsia" w:ascii="宋体" w:hAnsi="宋体" w:eastAsia="方正仿宋_GBK" w:cs="方正仿宋_GBK"/>
                <w:i w:val="0"/>
                <w:color w:val="000000"/>
                <w:kern w:val="0"/>
                <w:sz w:val="21"/>
                <w:szCs w:val="21"/>
                <w:u w:val="none"/>
                <w:lang w:val="en-US" w:eastAsia="zh-CN" w:bidi="ar"/>
              </w:rPr>
              <w:t xml:space="preserve">    3.同一权利人分割或者合并国有建设用地的，提交自然资源主管部门同意分割或合并的批准文件以及变更后的不动产权籍调查表、宗地图以及宗地界址点坐标等不动产权籍调查成果。共有的不动产，申请人应当在不动产登记申请书中注明共有性质。按份共有不动产的，应明确相应具体份额，共有份额宜采取分数或百分数表示。</w:t>
            </w:r>
            <w:r>
              <w:rPr>
                <w:rFonts w:hint="eastAsia" w:ascii="宋体" w:hAnsi="宋体" w:eastAsia="方正仿宋_GBK" w:cs="方正仿宋_GBK"/>
                <w:i w:val="0"/>
                <w:color w:val="000000"/>
                <w:kern w:val="0"/>
                <w:sz w:val="21"/>
                <w:szCs w:val="21"/>
                <w:u w:val="none"/>
                <w:lang w:val="en-US" w:eastAsia="zh-CN" w:bidi="ar"/>
              </w:rPr>
              <w:br w:type="textWrapping"/>
            </w:r>
            <w:r>
              <w:rPr>
                <w:rFonts w:hint="eastAsia" w:ascii="宋体" w:hAnsi="宋体" w:eastAsia="方正仿宋_GBK" w:cs="方正仿宋_GBK"/>
                <w:i w:val="0"/>
                <w:color w:val="000000"/>
                <w:kern w:val="0"/>
                <w:sz w:val="21"/>
                <w:szCs w:val="21"/>
                <w:u w:val="none"/>
                <w:lang w:val="en-US" w:eastAsia="zh-CN" w:bidi="ar"/>
              </w:rPr>
              <w:t xml:space="preserve">    4.放宽对抵押权人的限制。自然人、企业均可作为抵押权人申请以建设用地使用权及其地上建筑物、其他附着物所有权办理不动产抵押相关手续，涉及企业之间债权债务合同的须符合有关法律法规的规定。</w:t>
            </w:r>
            <w:r>
              <w:rPr>
                <w:rFonts w:hint="eastAsia" w:ascii="宋体" w:hAnsi="宋体" w:eastAsia="方正仿宋_GBK" w:cs="方正仿宋_GBK"/>
                <w:i w:val="0"/>
                <w:color w:val="000000"/>
                <w:kern w:val="0"/>
                <w:sz w:val="21"/>
                <w:szCs w:val="21"/>
                <w:u w:val="none"/>
                <w:lang w:val="en-US" w:eastAsia="zh-CN" w:bidi="ar"/>
              </w:rPr>
              <w:br w:type="textWrapping"/>
            </w:r>
            <w:r>
              <w:rPr>
                <w:rFonts w:hint="eastAsia" w:ascii="宋体" w:hAnsi="宋体" w:eastAsia="方正仿宋_GBK" w:cs="方正仿宋_GBK"/>
                <w:i w:val="0"/>
                <w:color w:val="000000"/>
                <w:kern w:val="0"/>
                <w:sz w:val="21"/>
                <w:szCs w:val="21"/>
                <w:u w:val="none"/>
                <w:lang w:val="en-US" w:eastAsia="zh-CN" w:bidi="ar"/>
              </w:rPr>
              <w:t xml:space="preserve">    5.简化不动产登记流程。对老旧住房自主更新项目，可采用直接按户首次登记等方式提供不动产登记服务。涉及通过转让、置换等方式归集产权的，可灵活采用不同登记类型提供服务。采用预告登记，支持存量建设用地通过二级市场盘活。持续实施小微企业（含个体工商户）免收不动产登记费告知承诺制。</w:t>
            </w: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7427861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《支持城市更新的规划与土地政策指引（2023版）》（自然资办发〔2023〕47号）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6F87D4D2">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5C001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59305F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104</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D59DBF">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AAF86D">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DCF3ED">
            <w:pPr>
              <w:keepNext w:val="0"/>
              <w:keepLines w:val="0"/>
              <w:pageBreakBefore w:val="0"/>
              <w:widowControl/>
              <w:kinsoku/>
              <w:wordWrap/>
              <w:overflowPunct/>
              <w:topLinePunct w:val="0"/>
              <w:autoSpaceDE/>
              <w:autoSpaceDN/>
              <w:bidi w:val="0"/>
              <w:adjustRightInd/>
              <w:snapToGrid/>
              <w:spacing w:after="0" w:line="240" w:lineRule="exact"/>
              <w:jc w:val="left"/>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09A3B18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kern w:val="0"/>
                <w:sz w:val="21"/>
                <w:szCs w:val="21"/>
                <w:u w:val="none"/>
                <w:lang w:val="en-US" w:eastAsia="zh-CN" w:bidi="ar"/>
              </w:rPr>
            </w:pPr>
            <w:r>
              <w:rPr>
                <w:rFonts w:hint="eastAsia" w:ascii="宋体" w:hAnsi="宋体" w:eastAsia="方正仿宋_GBK" w:cs="方正仿宋_GBK"/>
                <w:i w:val="0"/>
                <w:color w:val="000000"/>
                <w:kern w:val="0"/>
                <w:sz w:val="21"/>
                <w:szCs w:val="21"/>
                <w:u w:val="none"/>
                <w:lang w:val="en-US" w:eastAsia="zh-CN" w:bidi="ar"/>
              </w:rPr>
              <w:t>《不动产登记操作规范（试行）》（国土资规〔2016〕6号）</w:t>
            </w:r>
          </w:p>
          <w:p w14:paraId="01A3B13E">
            <w:pPr>
              <w:pStyle w:val="2"/>
              <w:keepNext w:val="0"/>
              <w:keepLines w:val="0"/>
              <w:pageBreakBefore w:val="0"/>
              <w:widowControl/>
              <w:kinsoku/>
              <w:wordWrap/>
              <w:overflowPunct/>
              <w:topLinePunct w:val="0"/>
              <w:autoSpaceDE/>
              <w:autoSpaceDN/>
              <w:bidi w:val="0"/>
              <w:adjustRightInd/>
              <w:snapToGrid/>
              <w:spacing w:line="240" w:lineRule="exact"/>
              <w:ind w:left="0" w:leftChars="0" w:firstLine="0" w:firstLineChars="0"/>
              <w:rPr>
                <w:rFonts w:hint="eastAsia" w:ascii="宋体" w:hAnsi="宋体"/>
              </w:rPr>
            </w:pPr>
            <w:r>
              <w:rPr>
                <w:rFonts w:hint="eastAsia" w:ascii="宋体" w:hAnsi="宋体" w:eastAsia="方正仿宋_GBK" w:cs="方正仿宋_GBK"/>
                <w:i w:val="0"/>
                <w:color w:val="000000"/>
                <w:kern w:val="0"/>
                <w:sz w:val="21"/>
                <w:szCs w:val="21"/>
                <w:u w:val="none"/>
                <w:lang w:val="en-US" w:eastAsia="zh-CN" w:bidi="ar"/>
              </w:rPr>
              <w:t>自然资源部关于修改印发《不动产登记操作规范（试行）》的通知（自然资函〔2021〕242号）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24D4EF99">
            <w:pPr>
              <w:keepNext w:val="0"/>
              <w:keepLines w:val="0"/>
              <w:pageBreakBefore w:val="0"/>
              <w:widowControl/>
              <w:kinsoku/>
              <w:wordWrap/>
              <w:overflowPunct/>
              <w:topLinePunct w:val="0"/>
              <w:autoSpaceDE/>
              <w:autoSpaceDN/>
              <w:bidi w:val="0"/>
              <w:adjustRightInd/>
              <w:snapToGrid/>
              <w:spacing w:after="0" w:line="240" w:lineRule="exact"/>
              <w:jc w:val="both"/>
              <w:rPr>
                <w:rFonts w:hint="default" w:ascii="宋体" w:hAnsi="宋体" w:eastAsia="方正仿宋_GBK" w:cs="方正仿宋_GBK"/>
                <w:i w:val="0"/>
                <w:color w:val="000000"/>
                <w:sz w:val="21"/>
                <w:szCs w:val="21"/>
                <w:u w:val="none"/>
                <w:lang w:val="en-US" w:eastAsia="zh-CN"/>
              </w:rPr>
            </w:pPr>
          </w:p>
        </w:tc>
      </w:tr>
      <w:tr w14:paraId="78C70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2E2BA0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105</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BC29FF">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87E9F6">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E42364">
            <w:pPr>
              <w:keepNext w:val="0"/>
              <w:keepLines w:val="0"/>
              <w:pageBreakBefore w:val="0"/>
              <w:widowControl/>
              <w:kinsoku/>
              <w:wordWrap/>
              <w:overflowPunct/>
              <w:topLinePunct w:val="0"/>
              <w:autoSpaceDE/>
              <w:autoSpaceDN/>
              <w:bidi w:val="0"/>
              <w:adjustRightInd/>
              <w:snapToGrid/>
              <w:spacing w:after="0" w:line="240" w:lineRule="exact"/>
              <w:jc w:val="left"/>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748E151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《云南省自然资源厅关于加快推进城市地下空间开发利用的实施意见（试行）》（云自然资权益〔2025〕270号）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1AF4FA09">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6D00F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6"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039DCF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106</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587349">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4C2550">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5A8A26">
            <w:pPr>
              <w:keepNext w:val="0"/>
              <w:keepLines w:val="0"/>
              <w:pageBreakBefore w:val="0"/>
              <w:widowControl/>
              <w:kinsoku/>
              <w:wordWrap/>
              <w:overflowPunct/>
              <w:topLinePunct w:val="0"/>
              <w:autoSpaceDE/>
              <w:autoSpaceDN/>
              <w:bidi w:val="0"/>
              <w:adjustRightInd/>
              <w:snapToGrid/>
              <w:spacing w:after="0" w:line="240" w:lineRule="exact"/>
              <w:jc w:val="left"/>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0C0025B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《云南省自然资源厅关于加强土地要素保障支持民营经济高质量发展的实施意见》（云自然资〔2024〕2号）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50552AD1">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r w14:paraId="087AD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jc w:val="center"/>
        </w:trPr>
        <w:tc>
          <w:tcPr>
            <w:tcW w:w="793" w:type="dxa"/>
            <w:tcBorders>
              <w:top w:val="single" w:color="000000" w:sz="4" w:space="0"/>
              <w:left w:val="single" w:color="000000" w:sz="4" w:space="0"/>
              <w:bottom w:val="single" w:color="000000" w:sz="4" w:space="0"/>
              <w:right w:val="single" w:color="000000" w:sz="4" w:space="0"/>
            </w:tcBorders>
            <w:noWrap/>
            <w:vAlign w:val="center"/>
          </w:tcPr>
          <w:p w14:paraId="004780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107</w:t>
            </w:r>
          </w:p>
        </w:tc>
        <w:tc>
          <w:tcPr>
            <w:tcW w:w="12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FD2F09">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b/>
                <w:i w:val="0"/>
                <w:color w:val="000000"/>
                <w:sz w:val="21"/>
                <w:szCs w:val="21"/>
                <w:u w:val="none"/>
              </w:rPr>
            </w:pPr>
          </w:p>
        </w:tc>
        <w:tc>
          <w:tcPr>
            <w:tcW w:w="12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5C4394">
            <w:pPr>
              <w:keepNext w:val="0"/>
              <w:keepLines w:val="0"/>
              <w:pageBreakBefore w:val="0"/>
              <w:widowControl/>
              <w:kinsoku/>
              <w:wordWrap/>
              <w:overflowPunct/>
              <w:topLinePunct w:val="0"/>
              <w:autoSpaceDE/>
              <w:autoSpaceDN/>
              <w:bidi w:val="0"/>
              <w:adjustRightInd/>
              <w:snapToGrid/>
              <w:spacing w:after="0" w:line="240" w:lineRule="exact"/>
              <w:jc w:val="center"/>
              <w:rPr>
                <w:rFonts w:hint="eastAsia" w:ascii="宋体" w:hAnsi="宋体" w:eastAsia="方正仿宋_GBK" w:cs="方正仿宋_GBK"/>
                <w:i w:val="0"/>
                <w:color w:val="000000"/>
                <w:sz w:val="21"/>
                <w:szCs w:val="21"/>
                <w:u w:val="none"/>
              </w:rPr>
            </w:pPr>
          </w:p>
        </w:tc>
        <w:tc>
          <w:tcPr>
            <w:tcW w:w="74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0FC107">
            <w:pPr>
              <w:keepNext w:val="0"/>
              <w:keepLines w:val="0"/>
              <w:pageBreakBefore w:val="0"/>
              <w:widowControl/>
              <w:kinsoku/>
              <w:wordWrap/>
              <w:overflowPunct/>
              <w:topLinePunct w:val="0"/>
              <w:autoSpaceDE/>
              <w:autoSpaceDN/>
              <w:bidi w:val="0"/>
              <w:adjustRightInd/>
              <w:snapToGrid/>
              <w:spacing w:after="0" w:line="240" w:lineRule="exact"/>
              <w:jc w:val="left"/>
              <w:rPr>
                <w:rFonts w:hint="eastAsia" w:ascii="宋体" w:hAnsi="宋体" w:eastAsia="方正仿宋_GBK" w:cs="方正仿宋_GBK"/>
                <w:i w:val="0"/>
                <w:color w:val="000000"/>
                <w:sz w:val="21"/>
                <w:szCs w:val="21"/>
                <w:u w:val="none"/>
              </w:rPr>
            </w:pPr>
          </w:p>
        </w:tc>
        <w:tc>
          <w:tcPr>
            <w:tcW w:w="6021" w:type="dxa"/>
            <w:tcBorders>
              <w:top w:val="single" w:color="000000" w:sz="4" w:space="0"/>
              <w:left w:val="single" w:color="000000" w:sz="4" w:space="0"/>
              <w:bottom w:val="single" w:color="000000" w:sz="4" w:space="0"/>
              <w:right w:val="single" w:color="000000" w:sz="4" w:space="0"/>
            </w:tcBorders>
            <w:noWrap w:val="0"/>
            <w:vAlign w:val="center"/>
          </w:tcPr>
          <w:p w14:paraId="25F1458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i w:val="0"/>
                <w:color w:val="000000"/>
                <w:sz w:val="21"/>
                <w:szCs w:val="21"/>
                <w:u w:val="none"/>
              </w:rPr>
            </w:pPr>
            <w:r>
              <w:rPr>
                <w:rFonts w:hint="eastAsia" w:ascii="宋体" w:hAnsi="宋体" w:eastAsia="方正仿宋_GBK" w:cs="方正仿宋_GBK"/>
                <w:i w:val="0"/>
                <w:color w:val="000000"/>
                <w:kern w:val="0"/>
                <w:sz w:val="21"/>
                <w:szCs w:val="21"/>
                <w:u w:val="none"/>
                <w:lang w:val="en-US" w:eastAsia="zh-CN" w:bidi="ar"/>
              </w:rPr>
              <w:t>《云南省建设用地使用权转让、出租、抵押二级市场管理办法（试行）》（云自然资〔2022〕1号）</w:t>
            </w:r>
          </w:p>
        </w:tc>
        <w:tc>
          <w:tcPr>
            <w:tcW w:w="3566" w:type="dxa"/>
            <w:tcBorders>
              <w:top w:val="single" w:color="000000" w:sz="4" w:space="0"/>
              <w:left w:val="single" w:color="000000" w:sz="4" w:space="0"/>
              <w:bottom w:val="single" w:color="000000" w:sz="4" w:space="0"/>
              <w:right w:val="single" w:color="000000" w:sz="4" w:space="0"/>
            </w:tcBorders>
            <w:noWrap w:val="0"/>
            <w:vAlign w:val="center"/>
          </w:tcPr>
          <w:p w14:paraId="070DC8BF">
            <w:pPr>
              <w:keepNext w:val="0"/>
              <w:keepLines w:val="0"/>
              <w:pageBreakBefore w:val="0"/>
              <w:widowControl/>
              <w:kinsoku/>
              <w:wordWrap/>
              <w:overflowPunct/>
              <w:topLinePunct w:val="0"/>
              <w:autoSpaceDE/>
              <w:autoSpaceDN/>
              <w:bidi w:val="0"/>
              <w:adjustRightInd/>
              <w:snapToGrid/>
              <w:spacing w:after="0" w:line="240" w:lineRule="exact"/>
              <w:jc w:val="both"/>
              <w:rPr>
                <w:rFonts w:hint="eastAsia" w:ascii="宋体" w:hAnsi="宋体" w:eastAsia="方正仿宋_GBK" w:cs="方正仿宋_GBK"/>
                <w:i w:val="0"/>
                <w:color w:val="000000"/>
                <w:sz w:val="21"/>
                <w:szCs w:val="21"/>
                <w:u w:val="none"/>
              </w:rPr>
            </w:pPr>
          </w:p>
        </w:tc>
      </w:tr>
    </w:tbl>
    <w:p w14:paraId="3D8B3973">
      <w:pPr>
        <w:pStyle w:val="2"/>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宋体" w:hAnsi="宋体"/>
          <w:lang w:val="en-US" w:eastAsia="zh-CN"/>
        </w:rPr>
      </w:pPr>
      <w:r>
        <w:rPr>
          <w:rFonts w:hint="eastAsia" w:ascii="宋体" w:hAnsi="宋体" w:eastAsia="方正仿宋_GBK" w:cs="方正仿宋_GBK"/>
          <w:sz w:val="21"/>
          <w:szCs w:val="21"/>
          <w:lang w:val="en-US" w:eastAsia="zh-CN"/>
        </w:rPr>
        <w:t>注：本政策工具箱所归集政策文件的施行、废止及有效期限，以文件规定为准。</w:t>
      </w:r>
    </w:p>
    <w:p w14:paraId="62EA289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方正小标宋_GBK" w:cs="方正小标宋_GBK"/>
          <w:sz w:val="36"/>
          <w:szCs w:val="36"/>
        </w:rPr>
        <w:sectPr>
          <w:footerReference r:id="rId3" w:type="default"/>
          <w:pgSz w:w="23757" w:h="16783" w:orient="landscape"/>
          <w:pgMar w:top="1588" w:right="2098" w:bottom="1474" w:left="1985" w:header="851" w:footer="850" w:gutter="0"/>
          <w:pgNumType w:fmt="decimal"/>
          <w:cols w:space="720" w:num="1"/>
          <w:docGrid w:type="linesAndChars" w:linePitch="574" w:charSpace="-1683"/>
        </w:sectPr>
      </w:pPr>
    </w:p>
    <w:p w14:paraId="47B6BA1A">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35211268-F1BA-4E98-B189-655AE8803597}"/>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script"/>
    <w:pitch w:val="default"/>
    <w:sig w:usb0="A00002BF" w:usb1="38CF7CFA" w:usb2="00082016" w:usb3="00000000" w:csb0="00040001" w:csb1="00000000"/>
    <w:embedRegular r:id="rId2" w:fontKey="{5098BFC2-9811-43E2-9ACB-360B0E505D23}"/>
  </w:font>
  <w:font w:name="方正黑体_GBK">
    <w:panose1 w:val="02010600010101010101"/>
    <w:charset w:val="86"/>
    <w:family w:val="auto"/>
    <w:pitch w:val="default"/>
    <w:sig w:usb0="00000001" w:usb1="080E0000" w:usb2="00000000" w:usb3="00000000" w:csb0="00040000" w:csb1="00000000"/>
    <w:embedRegular r:id="rId3" w:fontKey="{5C0B087A-A614-4D7F-877C-4C1A058ED4D8}"/>
  </w:font>
  <w:font w:name="方正小标宋_GBK">
    <w:panose1 w:val="02000000000000000000"/>
    <w:charset w:val="86"/>
    <w:family w:val="script"/>
    <w:pitch w:val="default"/>
    <w:sig w:usb0="A00002BF" w:usb1="38CF7CFA" w:usb2="00082016" w:usb3="00000000" w:csb0="00040001" w:csb1="00000000"/>
    <w:embedRegular r:id="rId4" w:fontKey="{F64CE0ED-C07C-423B-BB05-7370A21A764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A7443">
    <w:pPr>
      <w:pStyle w:val="5"/>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072C7D"/>
    <w:rsid w:val="01C516A1"/>
    <w:rsid w:val="0238044C"/>
    <w:rsid w:val="047258C7"/>
    <w:rsid w:val="05CE62E0"/>
    <w:rsid w:val="064177AA"/>
    <w:rsid w:val="07EA30E9"/>
    <w:rsid w:val="0835792E"/>
    <w:rsid w:val="08F66710"/>
    <w:rsid w:val="0A4B2F82"/>
    <w:rsid w:val="0A7656FA"/>
    <w:rsid w:val="0AFE4899"/>
    <w:rsid w:val="0C062C2F"/>
    <w:rsid w:val="0FA64FE5"/>
    <w:rsid w:val="0FAE0C91"/>
    <w:rsid w:val="11B470B1"/>
    <w:rsid w:val="13C23B0B"/>
    <w:rsid w:val="13C61ACD"/>
    <w:rsid w:val="151C3799"/>
    <w:rsid w:val="1763307A"/>
    <w:rsid w:val="17BB34D4"/>
    <w:rsid w:val="19480231"/>
    <w:rsid w:val="1A174258"/>
    <w:rsid w:val="1A2F63A2"/>
    <w:rsid w:val="1C523383"/>
    <w:rsid w:val="1D6051C9"/>
    <w:rsid w:val="1FE364A4"/>
    <w:rsid w:val="20316DB2"/>
    <w:rsid w:val="216B7714"/>
    <w:rsid w:val="22E846E5"/>
    <w:rsid w:val="23116F6F"/>
    <w:rsid w:val="24175CD2"/>
    <w:rsid w:val="24627D0E"/>
    <w:rsid w:val="255A40F4"/>
    <w:rsid w:val="25801D6A"/>
    <w:rsid w:val="267F7337"/>
    <w:rsid w:val="27537CDA"/>
    <w:rsid w:val="2C180B8D"/>
    <w:rsid w:val="2D566398"/>
    <w:rsid w:val="2E254D46"/>
    <w:rsid w:val="2E53226B"/>
    <w:rsid w:val="30301667"/>
    <w:rsid w:val="31AE3DFF"/>
    <w:rsid w:val="31E60784"/>
    <w:rsid w:val="33005EB6"/>
    <w:rsid w:val="33D61D32"/>
    <w:rsid w:val="34072C7D"/>
    <w:rsid w:val="350A0C28"/>
    <w:rsid w:val="3652650B"/>
    <w:rsid w:val="39305C77"/>
    <w:rsid w:val="3CFC1F8D"/>
    <w:rsid w:val="3D9C7583"/>
    <w:rsid w:val="43C01E88"/>
    <w:rsid w:val="49AC60B3"/>
    <w:rsid w:val="4AD14662"/>
    <w:rsid w:val="4C141812"/>
    <w:rsid w:val="4C716858"/>
    <w:rsid w:val="4EC975B3"/>
    <w:rsid w:val="50AE71B1"/>
    <w:rsid w:val="518F2F8C"/>
    <w:rsid w:val="51B07FF9"/>
    <w:rsid w:val="52FF05BB"/>
    <w:rsid w:val="539360C0"/>
    <w:rsid w:val="558651B1"/>
    <w:rsid w:val="56677E1F"/>
    <w:rsid w:val="586C56F4"/>
    <w:rsid w:val="58ED5B81"/>
    <w:rsid w:val="59490913"/>
    <w:rsid w:val="5950093A"/>
    <w:rsid w:val="59D021AA"/>
    <w:rsid w:val="5A7305E7"/>
    <w:rsid w:val="5B9D1953"/>
    <w:rsid w:val="5C6B6CFA"/>
    <w:rsid w:val="5CD57B3A"/>
    <w:rsid w:val="5FC01ED7"/>
    <w:rsid w:val="621D7858"/>
    <w:rsid w:val="62963BFD"/>
    <w:rsid w:val="62C371D1"/>
    <w:rsid w:val="645C2D80"/>
    <w:rsid w:val="6500002F"/>
    <w:rsid w:val="652C04A2"/>
    <w:rsid w:val="68C41083"/>
    <w:rsid w:val="68F46907"/>
    <w:rsid w:val="6956490A"/>
    <w:rsid w:val="6C1E4A4F"/>
    <w:rsid w:val="6CA47842"/>
    <w:rsid w:val="705B4861"/>
    <w:rsid w:val="73BC7A86"/>
    <w:rsid w:val="73BE1C74"/>
    <w:rsid w:val="75153AFB"/>
    <w:rsid w:val="779459B3"/>
    <w:rsid w:val="78004B75"/>
    <w:rsid w:val="78BE5468"/>
    <w:rsid w:val="7BF475C6"/>
    <w:rsid w:val="7C754207"/>
    <w:rsid w:val="7D296A53"/>
    <w:rsid w:val="7F454217"/>
    <w:rsid w:val="7FD03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4"/>
    <w:unhideWhenUsed/>
    <w:qFormat/>
    <w:uiPriority w:val="99"/>
    <w:pPr>
      <w:spacing w:after="120"/>
      <w:ind w:left="420" w:leftChars="200"/>
    </w:pPr>
  </w:style>
  <w:style w:type="paragraph" w:styleId="4">
    <w:name w:val="Normal Indent"/>
    <w:basedOn w:val="1"/>
    <w:next w:val="1"/>
    <w:uiPriority w:val="0"/>
    <w:pPr>
      <w:snapToGrid w:val="0"/>
      <w:spacing w:line="300" w:lineRule="auto"/>
      <w:ind w:firstLine="556"/>
    </w:pPr>
    <w:rPr>
      <w:rFonts w:ascii="仿宋_GB2312" w:hAnsi="Times New Roman" w:eastAsia="仿宋_GB2312"/>
      <w:kern w:val="0"/>
      <w:szCs w:val="20"/>
    </w:rPr>
  </w:style>
  <w:style w:type="paragraph" w:styleId="5">
    <w:name w:val="footer"/>
    <w:basedOn w:val="1"/>
    <w:qFormat/>
    <w:uiPriority w:val="0"/>
    <w:pPr>
      <w:tabs>
        <w:tab w:val="center" w:pos="4153"/>
        <w:tab w:val="right" w:pos="8306"/>
      </w:tabs>
      <w:snapToGrid w:val="0"/>
      <w:jc w:val="left"/>
    </w:pPr>
    <w:rPr>
      <w:sz w:val="18"/>
    </w:rPr>
  </w:style>
  <w:style w:type="character" w:styleId="8">
    <w:name w:val="Strong"/>
    <w:basedOn w:val="7"/>
    <w:qFormat/>
    <w:uiPriority w:val="0"/>
    <w:rPr>
      <w:b/>
    </w:rPr>
  </w:style>
  <w:style w:type="character" w:customStyle="1" w:styleId="9">
    <w:name w:val="font21"/>
    <w:basedOn w:val="7"/>
    <w:uiPriority w:val="0"/>
    <w:rPr>
      <w:rFonts w:hint="eastAsia" w:ascii="仿宋" w:hAnsi="仿宋" w:eastAsia="仿宋" w:cs="仿宋"/>
      <w:color w:val="000000"/>
      <w:sz w:val="24"/>
      <w:szCs w:val="24"/>
      <w:u w:val="none"/>
    </w:rPr>
  </w:style>
  <w:style w:type="paragraph" w:customStyle="1" w:styleId="10">
    <w:name w:val=" Char"/>
    <w:basedOn w:val="1"/>
    <w:uiPriority w:val="0"/>
    <w:rPr>
      <w:rFonts w:eastAsia="宋体"/>
      <w:sz w:val="21"/>
      <w:szCs w:val="24"/>
    </w:rPr>
  </w:style>
  <w:style w:type="character" w:customStyle="1" w:styleId="11">
    <w:name w:val="font01"/>
    <w:basedOn w:val="7"/>
    <w:qFormat/>
    <w:uiPriority w:val="0"/>
    <w:rPr>
      <w:rFonts w:hint="default" w:ascii="Times New Roman" w:hAnsi="Times New Roman" w:cs="Times New Roman"/>
      <w:color w:val="000000"/>
      <w:sz w:val="24"/>
      <w:szCs w:val="24"/>
      <w:u w:val="none"/>
    </w:rPr>
  </w:style>
  <w:style w:type="character" w:customStyle="1" w:styleId="12">
    <w:name w:val="font91"/>
    <w:basedOn w:val="7"/>
    <w:qFormat/>
    <w:uiPriority w:val="0"/>
    <w:rPr>
      <w:rFonts w:ascii="Arial" w:hAnsi="Arial" w:cs="Arial"/>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云南省林业厅</Company>
  <Pages>8</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2026-08-17T09:20:00Z</dcterms:created>
  <dc:creator>微信用户</dc:creator>
  <cp:lastModifiedBy>微信用户</cp:lastModifiedBy>
  <dcterms:modified xsi:type="dcterms:W3CDTF">2026-08-17T09:21:44Z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797E15ED5A254A9A8D34FF20E639FC55_11</vt:lpwstr>
  </property>
  <property fmtid="{D5CDD505-2E9C-101B-9397-08002B2CF9AE}" pid="4" name="KSOTemplateDocerSaveRecord">
    <vt:lpwstr>eyJoZGlkIjoiM2UyNGQ3YjUwMTViZThiNGNjZGE5NTI5MzE1ZDNkMDgiLCJ1c2VySWQiOiIxNDAwMTY2MTcwIn0=</vt:lpwstr>
  </property>
</Properties>
</file>